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B0D7" w14:textId="6F97B8DC"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C34B7F">
        <w:rPr>
          <w:rFonts w:ascii="Arial" w:hAnsi="Arial" w:cs="Arial"/>
          <w:sz w:val="22"/>
          <w:szCs w:val="22"/>
        </w:rPr>
        <w:t>7</w:t>
      </w:r>
      <w:r>
        <w:rPr>
          <w:rFonts w:ascii="Arial" w:hAnsi="Arial" w:cs="Arial"/>
          <w:sz w:val="22"/>
          <w:szCs w:val="22"/>
        </w:rPr>
        <w:t>-e</w:t>
      </w:r>
      <w:r>
        <w:rPr>
          <w:rFonts w:ascii="Arial" w:hAnsi="Arial" w:cs="Arial"/>
          <w:sz w:val="22"/>
          <w:szCs w:val="22"/>
        </w:rPr>
        <w:tab/>
      </w:r>
      <w:r w:rsidR="009D5B4E" w:rsidRPr="008573EC">
        <w:rPr>
          <w:rFonts w:ascii="Arial" w:hAnsi="Arial" w:cs="Arial"/>
          <w:sz w:val="22"/>
          <w:szCs w:val="22"/>
        </w:rPr>
        <w:t>R2-2</w:t>
      </w:r>
      <w:r w:rsidR="008573EC" w:rsidRPr="008573EC">
        <w:rPr>
          <w:rFonts w:ascii="Arial" w:hAnsi="Arial" w:cs="Arial"/>
          <w:sz w:val="22"/>
          <w:szCs w:val="22"/>
        </w:rPr>
        <w:t>203252</w:t>
      </w:r>
    </w:p>
    <w:p w14:paraId="5EB51F8A" w14:textId="13F86052" w:rsidR="00B8508E" w:rsidRDefault="00B8508E" w:rsidP="00B8508E">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F13B62">
        <w:rPr>
          <w:rFonts w:ascii="Arial" w:eastAsia="Malgun Gothic" w:hAnsi="Arial" w:cs="Arial"/>
          <w:sz w:val="22"/>
          <w:szCs w:val="22"/>
          <w:lang w:val="en-US" w:eastAsia="en-US"/>
        </w:rPr>
        <w:t xml:space="preserve">21 </w:t>
      </w:r>
      <w:r w:rsidR="000A6F1F">
        <w:rPr>
          <w:rFonts w:ascii="Arial" w:eastAsia="Malgun Gothic" w:hAnsi="Arial" w:cs="Arial"/>
          <w:sz w:val="22"/>
          <w:szCs w:val="22"/>
          <w:lang w:val="en-US" w:eastAsia="en-US"/>
        </w:rPr>
        <w:t>February</w:t>
      </w:r>
      <w:r w:rsidR="00592B5F">
        <w:rPr>
          <w:rFonts w:ascii="Arial" w:eastAsia="Malgun Gothic" w:hAnsi="Arial" w:cs="Arial"/>
          <w:sz w:val="22"/>
          <w:szCs w:val="22"/>
          <w:lang w:val="en-US" w:eastAsia="en-US"/>
        </w:rPr>
        <w:t xml:space="preserve"> </w:t>
      </w:r>
      <w:r w:rsidR="00592B5F" w:rsidRPr="00592B5F">
        <w:rPr>
          <w:rFonts w:ascii="Arial" w:eastAsia="Malgun Gothic" w:hAnsi="Arial" w:cs="Arial"/>
          <w:sz w:val="22"/>
          <w:szCs w:val="22"/>
          <w:lang w:val="en-US" w:eastAsia="en-US"/>
        </w:rPr>
        <w:t>-</w:t>
      </w:r>
      <w:r w:rsidR="00592B5F">
        <w:rPr>
          <w:rFonts w:ascii="Arial" w:eastAsia="Malgun Gothic" w:hAnsi="Arial" w:cs="Arial"/>
          <w:sz w:val="22"/>
          <w:szCs w:val="22"/>
          <w:lang w:val="en-US" w:eastAsia="en-US"/>
        </w:rPr>
        <w:t xml:space="preserve"> </w:t>
      </w:r>
      <w:r w:rsidR="00F13B62">
        <w:rPr>
          <w:rFonts w:ascii="Arial" w:eastAsia="Malgun Gothic" w:hAnsi="Arial" w:cs="Arial"/>
          <w:sz w:val="22"/>
          <w:szCs w:val="22"/>
          <w:lang w:val="en-US" w:eastAsia="en-US"/>
        </w:rPr>
        <w:t>3</w:t>
      </w:r>
      <w:r w:rsidR="00592B5F" w:rsidRPr="00592B5F">
        <w:rPr>
          <w:rFonts w:ascii="Arial" w:eastAsia="Malgun Gothic" w:hAnsi="Arial" w:cs="Arial"/>
          <w:sz w:val="22"/>
          <w:szCs w:val="22"/>
          <w:lang w:val="en-US" w:eastAsia="en-US"/>
        </w:rPr>
        <w:t xml:space="preserve"> </w:t>
      </w:r>
      <w:r w:rsidR="00F13B62">
        <w:rPr>
          <w:rFonts w:ascii="Arial" w:eastAsia="Malgun Gothic" w:hAnsi="Arial" w:cs="Arial"/>
          <w:sz w:val="22"/>
          <w:szCs w:val="22"/>
          <w:lang w:val="en-US" w:eastAsia="en-US"/>
        </w:rPr>
        <w:t>March</w:t>
      </w:r>
      <w:r w:rsidR="00592B5F" w:rsidRPr="00592B5F">
        <w:rPr>
          <w:rFonts w:ascii="Arial" w:eastAsia="Malgun Gothic" w:hAnsi="Arial" w:cs="Arial"/>
          <w:sz w:val="22"/>
          <w:szCs w:val="22"/>
          <w:lang w:val="en-US" w:eastAsia="en-US"/>
        </w:rPr>
        <w:t xml:space="preserve"> 2022</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1D90AEB0" w14:textId="57E8A5D0" w:rsidR="00053403" w:rsidRDefault="00053403" w:rsidP="00053403">
      <w:pPr>
        <w:pStyle w:val="3GPPHeader"/>
        <w:spacing w:after="120"/>
        <w:rPr>
          <w:rFonts w:ascii="Arial" w:hAnsi="Arial" w:cs="Arial"/>
          <w:b w:val="0"/>
          <w:bCs/>
          <w:sz w:val="22"/>
        </w:rPr>
      </w:pPr>
      <w:r>
        <w:rPr>
          <w:rFonts w:ascii="Arial" w:hAnsi="Arial" w:cs="Arial"/>
          <w:sz w:val="22"/>
        </w:rPr>
        <w:t>Agenda Item:</w:t>
      </w:r>
      <w:r>
        <w:rPr>
          <w:rFonts w:ascii="Arial" w:hAnsi="Arial" w:cs="Arial"/>
          <w:sz w:val="22"/>
        </w:rPr>
        <w:tab/>
      </w:r>
      <w:r>
        <w:rPr>
          <w:rFonts w:ascii="Arial" w:hAnsi="Arial" w:cs="Arial"/>
          <w:b w:val="0"/>
          <w:bCs/>
          <w:sz w:val="22"/>
        </w:rPr>
        <w:t>8.9.</w:t>
      </w:r>
      <w:r w:rsidR="00AD2147">
        <w:rPr>
          <w:rFonts w:ascii="Arial" w:hAnsi="Arial" w:cs="Arial"/>
          <w:b w:val="0"/>
          <w:bCs/>
          <w:sz w:val="22"/>
        </w:rPr>
        <w:t>3.</w:t>
      </w:r>
      <w:r>
        <w:rPr>
          <w:rFonts w:ascii="Arial" w:hAnsi="Arial" w:cs="Arial"/>
          <w:b w:val="0"/>
          <w:bCs/>
          <w:sz w:val="22"/>
        </w:rPr>
        <w:t>2</w:t>
      </w:r>
      <w:r w:rsidR="005A5EB5">
        <w:rPr>
          <w:rFonts w:ascii="Arial" w:hAnsi="Arial" w:cs="Arial"/>
          <w:b w:val="0"/>
          <w:bCs/>
          <w:sz w:val="22"/>
        </w:rPr>
        <w:t>.1</w:t>
      </w:r>
      <w:r>
        <w:rPr>
          <w:rFonts w:ascii="Arial" w:hAnsi="Arial" w:cs="Arial"/>
          <w:b w:val="0"/>
          <w:bCs/>
          <w:sz w:val="22"/>
        </w:rPr>
        <w:t xml:space="preserve"> </w:t>
      </w:r>
      <w:r w:rsidR="005A5EB5" w:rsidRPr="005A5EB5">
        <w:rPr>
          <w:rFonts w:ascii="Arial" w:hAnsi="Arial" w:cs="Arial"/>
          <w:b w:val="0"/>
          <w:bCs/>
          <w:sz w:val="22"/>
        </w:rPr>
        <w:t>PEI and paging subgrouping</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F82EF6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D6A65">
        <w:rPr>
          <w:rFonts w:ascii="Arial" w:hAnsi="Arial" w:cs="Arial"/>
          <w:b w:val="0"/>
          <w:bCs/>
          <w:sz w:val="22"/>
          <w:lang w:val="en-US"/>
        </w:rPr>
        <w:t xml:space="preserve">Paging </w:t>
      </w:r>
      <w:r w:rsidR="000C7A2E">
        <w:rPr>
          <w:rFonts w:ascii="Arial" w:hAnsi="Arial" w:cs="Arial"/>
          <w:b w:val="0"/>
          <w:bCs/>
          <w:sz w:val="22"/>
          <w:lang w:val="en-US"/>
        </w:rPr>
        <w:t xml:space="preserve">Early Indication and </w:t>
      </w:r>
      <w:r w:rsidR="008C2B53">
        <w:rPr>
          <w:rFonts w:ascii="Arial" w:hAnsi="Arial" w:cs="Arial"/>
          <w:b w:val="0"/>
          <w:bCs/>
          <w:sz w:val="22"/>
          <w:lang w:val="en-US"/>
        </w:rPr>
        <w:t>S</w:t>
      </w:r>
      <w:r w:rsidR="000C7A2E">
        <w:rPr>
          <w:rFonts w:ascii="Arial" w:hAnsi="Arial" w:cs="Arial"/>
          <w:b w:val="0"/>
          <w:bCs/>
          <w:sz w:val="22"/>
          <w:lang w:val="en-US"/>
        </w:rPr>
        <w:t>ubgroups</w:t>
      </w:r>
    </w:p>
    <w:p w14:paraId="1D061440" w14:textId="742040DB" w:rsidR="00120D47"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09F65DDF" w14:textId="07E9B25A" w:rsidR="006D6A65" w:rsidRDefault="006D6A65" w:rsidP="006D6A65">
      <w:pPr>
        <w:rPr>
          <w:lang w:val="en-GB" w:eastAsia="zh-CN"/>
        </w:rPr>
      </w:pPr>
      <w:r>
        <w:rPr>
          <w:lang w:val="en-GB" w:eastAsia="zh-CN"/>
        </w:rPr>
        <w:t xml:space="preserve">The following </w:t>
      </w:r>
      <w:r w:rsidR="00177C19">
        <w:rPr>
          <w:lang w:val="en-GB" w:eastAsia="zh-CN"/>
        </w:rPr>
        <w:t>aspects of paging subgroups and PEI</w:t>
      </w:r>
      <w:r>
        <w:rPr>
          <w:lang w:val="en-GB" w:eastAsia="zh-CN"/>
        </w:rPr>
        <w:t xml:space="preserve"> are discussed in this contribution:</w:t>
      </w:r>
    </w:p>
    <w:p w14:paraId="5BCA897C" w14:textId="6A5B9638" w:rsidR="00887F8A" w:rsidRPr="00AB7CEE" w:rsidRDefault="009B49DC" w:rsidP="00BB7B46">
      <w:pPr>
        <w:pStyle w:val="ListParagraph"/>
        <w:numPr>
          <w:ilvl w:val="0"/>
          <w:numId w:val="7"/>
        </w:numPr>
        <w:rPr>
          <w:lang w:val="en-GB" w:eastAsia="zh-CN"/>
        </w:rPr>
      </w:pPr>
      <w:r w:rsidRPr="00AB7CEE">
        <w:rPr>
          <w:lang w:val="en-GB" w:eastAsia="zh-CN"/>
        </w:rPr>
        <w:t>Configuration issues</w:t>
      </w:r>
    </w:p>
    <w:p w14:paraId="7E580DF7" w14:textId="075AA41C" w:rsidR="001A0125" w:rsidRPr="00AB7CEE" w:rsidRDefault="00A63066" w:rsidP="00BB7B46">
      <w:pPr>
        <w:pStyle w:val="ListParagraph"/>
        <w:numPr>
          <w:ilvl w:val="0"/>
          <w:numId w:val="7"/>
        </w:numPr>
        <w:rPr>
          <w:lang w:val="en-GB" w:eastAsia="zh-CN"/>
        </w:rPr>
      </w:pPr>
      <w:r w:rsidRPr="00AB7CEE">
        <w:rPr>
          <w:lang w:val="en-GB" w:eastAsia="zh-CN"/>
        </w:rPr>
        <w:t>M</w:t>
      </w:r>
      <w:r w:rsidR="00455BAC" w:rsidRPr="00AB7CEE">
        <w:rPr>
          <w:lang w:val="en-GB" w:eastAsia="zh-CN"/>
        </w:rPr>
        <w:t xml:space="preserve">aximum </w:t>
      </w:r>
      <w:r w:rsidR="001A0125" w:rsidRPr="00AB7CEE">
        <w:rPr>
          <w:lang w:val="en-GB" w:eastAsia="zh-CN"/>
        </w:rPr>
        <w:t>number of CN-groups</w:t>
      </w:r>
    </w:p>
    <w:p w14:paraId="709117B4" w14:textId="4B587F18" w:rsidR="00887F8A" w:rsidRPr="00AB7CEE" w:rsidRDefault="00D04847" w:rsidP="00BB7B46">
      <w:pPr>
        <w:pStyle w:val="ListParagraph"/>
        <w:numPr>
          <w:ilvl w:val="0"/>
          <w:numId w:val="7"/>
        </w:numPr>
        <w:rPr>
          <w:lang w:val="en-GB" w:eastAsia="zh-CN"/>
        </w:rPr>
      </w:pPr>
      <w:r w:rsidRPr="00AB7CEE">
        <w:rPr>
          <w:lang w:val="en-GB" w:eastAsia="zh-CN"/>
        </w:rPr>
        <w:t>PEI and eDRX</w:t>
      </w:r>
    </w:p>
    <w:p w14:paraId="13B6E247" w14:textId="77777777" w:rsidR="009A5405" w:rsidRPr="00AB7CEE" w:rsidRDefault="009A5405" w:rsidP="009A5405">
      <w:pPr>
        <w:pStyle w:val="ListParagraph"/>
        <w:numPr>
          <w:ilvl w:val="0"/>
          <w:numId w:val="7"/>
        </w:numPr>
        <w:rPr>
          <w:lang w:val="en-GB" w:eastAsia="zh-CN"/>
        </w:rPr>
      </w:pPr>
      <w:r w:rsidRPr="00AB7CEE">
        <w:rPr>
          <w:lang w:val="en-GB" w:eastAsia="zh-CN"/>
        </w:rPr>
        <w:t>Paging configuration for legacy and new UEs</w:t>
      </w:r>
    </w:p>
    <w:p w14:paraId="4EB0EE61" w14:textId="6BAF9C28" w:rsidR="00D04847" w:rsidRPr="00AB7CEE" w:rsidRDefault="001A0125" w:rsidP="00BB7B46">
      <w:pPr>
        <w:pStyle w:val="ListParagraph"/>
        <w:numPr>
          <w:ilvl w:val="0"/>
          <w:numId w:val="7"/>
        </w:numPr>
        <w:rPr>
          <w:lang w:val="en-GB" w:eastAsia="zh-CN"/>
        </w:rPr>
      </w:pPr>
      <w:r w:rsidRPr="00AB7CEE">
        <w:rPr>
          <w:lang w:val="en-GB" w:eastAsia="zh-CN"/>
        </w:rPr>
        <w:t>UE capability signalling</w:t>
      </w:r>
    </w:p>
    <w:p w14:paraId="4B068D36" w14:textId="7493DEE2" w:rsidR="00F236C8" w:rsidRPr="00AB7CEE" w:rsidRDefault="0063204C" w:rsidP="00BB7B46">
      <w:pPr>
        <w:pStyle w:val="ListParagraph"/>
        <w:numPr>
          <w:ilvl w:val="0"/>
          <w:numId w:val="7"/>
        </w:numPr>
        <w:rPr>
          <w:lang w:val="en-GB" w:eastAsia="zh-CN"/>
        </w:rPr>
      </w:pPr>
      <w:r w:rsidRPr="00AB7CEE">
        <w:rPr>
          <w:lang w:val="en-GB" w:eastAsia="zh-CN"/>
        </w:rPr>
        <w:t xml:space="preserve">UE </w:t>
      </w:r>
      <w:r w:rsidR="00F236C8" w:rsidRPr="00AB7CEE">
        <w:rPr>
          <w:lang w:val="en-GB" w:eastAsia="zh-CN"/>
        </w:rPr>
        <w:t xml:space="preserve">PEI </w:t>
      </w:r>
      <w:r w:rsidR="00EF4040" w:rsidRPr="00AB7CEE">
        <w:rPr>
          <w:lang w:val="en-GB" w:eastAsia="zh-CN"/>
        </w:rPr>
        <w:t>usefulness</w:t>
      </w:r>
      <w:r w:rsidR="00F236C8" w:rsidRPr="00AB7CEE">
        <w:rPr>
          <w:lang w:val="en-GB" w:eastAsia="zh-CN"/>
        </w:rPr>
        <w:t xml:space="preserve"> reporting</w:t>
      </w:r>
    </w:p>
    <w:p w14:paraId="6F8A1D5D" w14:textId="67912F1B" w:rsidR="004D10CC" w:rsidRDefault="004D10CC" w:rsidP="004D10CC">
      <w:pPr>
        <w:pStyle w:val="Heading1"/>
      </w:pPr>
      <w:bookmarkStart w:id="4" w:name="_Toc242573354"/>
      <w:r>
        <w:t>Background</w:t>
      </w:r>
    </w:p>
    <w:p w14:paraId="2164DC2D" w14:textId="34616668" w:rsidR="00296A94" w:rsidRDefault="00F861BD" w:rsidP="0067334E">
      <w:pPr>
        <w:rPr>
          <w:lang w:val="en-GB" w:eastAsia="zh-CN"/>
        </w:rPr>
      </w:pPr>
      <w:r>
        <w:rPr>
          <w:lang w:val="en-GB" w:eastAsia="zh-CN"/>
        </w:rPr>
        <w:t xml:space="preserve">The following </w:t>
      </w:r>
      <w:r w:rsidR="00DB44CA">
        <w:rPr>
          <w:lang w:val="en-GB" w:eastAsia="zh-CN"/>
        </w:rPr>
        <w:t>open issues we</w:t>
      </w:r>
      <w:r>
        <w:rPr>
          <w:lang w:val="en-GB" w:eastAsia="zh-CN"/>
        </w:rPr>
        <w:t>re identified</w:t>
      </w:r>
      <w:r w:rsidR="00697F8D">
        <w:rPr>
          <w:lang w:val="en-GB" w:eastAsia="zh-CN"/>
        </w:rPr>
        <w:t xml:space="preserve"> in RAN2</w:t>
      </w:r>
      <w:r>
        <w:rPr>
          <w:lang w:val="en-GB" w:eastAsia="zh-CN"/>
        </w:rPr>
        <w:t>:</w:t>
      </w:r>
    </w:p>
    <w:p w14:paraId="390CE275" w14:textId="77777777" w:rsidR="00CB498A" w:rsidRPr="00AA464A" w:rsidRDefault="00CB498A" w:rsidP="00CB498A">
      <w:pPr>
        <w:pStyle w:val="Comments"/>
        <w:ind w:right="-563"/>
      </w:pPr>
      <w:r w:rsidRPr="00CB498A">
        <w:t xml:space="preserve">OI 1.4: </w:t>
      </w:r>
      <w:r w:rsidRPr="00AA464A">
        <w:t>RAN2 has a preference to support PEI with both DRX and eDRX; FFS on potential issues (e.g., PEI and PTW).</w:t>
      </w:r>
    </w:p>
    <w:p w14:paraId="3E587D3E" w14:textId="77777777" w:rsidR="00CB498A" w:rsidRPr="00AA464A" w:rsidRDefault="00CB498A" w:rsidP="00CB498A">
      <w:pPr>
        <w:pStyle w:val="Comments"/>
        <w:ind w:right="-563"/>
      </w:pPr>
      <w:r w:rsidRPr="00AA464A">
        <w:t xml:space="preserve">OI 1.5: FFS on the detailed NAS signalling between AMF and UE for CN assigned subgrouping. </w:t>
      </w:r>
    </w:p>
    <w:p w14:paraId="63C98C16" w14:textId="77777777" w:rsidR="00CB498A" w:rsidRPr="00AA464A" w:rsidRDefault="00CB498A" w:rsidP="00CB498A">
      <w:pPr>
        <w:pStyle w:val="Comments"/>
        <w:ind w:left="567" w:right="-563" w:hanging="567"/>
      </w:pPr>
      <w:r w:rsidRPr="00AA464A">
        <w:t>OI 1.6: 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p w14:paraId="46101CA8" w14:textId="77777777" w:rsidR="00CB498A" w:rsidRPr="00AA464A" w:rsidRDefault="00CB498A" w:rsidP="00CB498A">
      <w:pPr>
        <w:pStyle w:val="Comments"/>
        <w:ind w:left="567" w:right="-563" w:hanging="567"/>
      </w:pPr>
      <w:r w:rsidRPr="00AA464A">
        <w:t>OI 1.7: It is FFS when a UE in RRC_INACTIVE has been assigned by CN a Paging subgroup, whether some signaling should be introduced between gNBs to inform each other about the UE’s subgroup for RAN paging.</w:t>
      </w:r>
    </w:p>
    <w:p w14:paraId="73282BC0" w14:textId="77777777" w:rsidR="00CB498A" w:rsidRPr="00AA464A" w:rsidRDefault="00CB498A" w:rsidP="00CB498A">
      <w:pPr>
        <w:pStyle w:val="Comments"/>
        <w:ind w:right="-563"/>
      </w:pPr>
      <w:r w:rsidRPr="00AA464A">
        <w:t>OI 1.8: Handling in scenarios where certain gNB within a RNA does not support CN controlled subgrouping</w:t>
      </w:r>
    </w:p>
    <w:p w14:paraId="672352F8" w14:textId="77777777" w:rsidR="00CB498A" w:rsidRPr="00AD3852" w:rsidRDefault="00CB498A" w:rsidP="00CB498A">
      <w:pPr>
        <w:pStyle w:val="Comments"/>
        <w:ind w:left="567" w:right="-563" w:hanging="567"/>
        <w:rPr>
          <w:highlight w:val="cyan"/>
        </w:rPr>
      </w:pPr>
      <w:r w:rsidRPr="00AA464A">
        <w:t>OI 1.9: When K=1, the PEI configuration can be either (1) subgroupConfig is absent (i.e., PEI without subgrouping) or (2) subgroupConfig is present and subgroupNumPerPO=1. FFS if UE</w:t>
      </w:r>
      <w:r w:rsidRPr="00CB498A">
        <w:t xml:space="preserve"> PHY processing for DCI format 2_7 is the same.</w:t>
      </w:r>
    </w:p>
    <w:p w14:paraId="26328E91" w14:textId="77777777" w:rsidR="00CB498A" w:rsidRDefault="00CB498A" w:rsidP="002C4DAC">
      <w:pPr>
        <w:rPr>
          <w:lang w:val="en-GB" w:eastAsia="zh-CN"/>
        </w:rPr>
      </w:pPr>
    </w:p>
    <w:p w14:paraId="3F9A44FC" w14:textId="7E9E512C" w:rsidR="000B657B" w:rsidRDefault="000B657B" w:rsidP="000B657B">
      <w:pPr>
        <w:rPr>
          <w:lang w:val="en-GB" w:eastAsia="zh-CN"/>
        </w:rPr>
      </w:pPr>
      <w:r w:rsidRPr="00A7401A">
        <w:rPr>
          <w:lang w:val="en-GB" w:eastAsia="zh-CN"/>
        </w:rPr>
        <w:t xml:space="preserve">The </w:t>
      </w:r>
      <w:r w:rsidRPr="006C1EE8">
        <w:rPr>
          <w:b/>
          <w:bCs/>
          <w:lang w:val="en-GB" w:eastAsia="zh-CN"/>
        </w:rPr>
        <w:t>RAN1 UE features</w:t>
      </w:r>
      <w:r>
        <w:rPr>
          <w:lang w:val="en-GB" w:eastAsia="zh-CN"/>
        </w:rPr>
        <w:t xml:space="preserve"> are </w:t>
      </w:r>
      <w:r w:rsidRPr="00A7401A">
        <w:rPr>
          <w:lang w:val="en-GB" w:eastAsia="zh-CN"/>
        </w:rPr>
        <w:t>provided</w:t>
      </w:r>
      <w:r>
        <w:rPr>
          <w:lang w:val="en-GB" w:eastAsia="zh-CN"/>
        </w:rPr>
        <w:t xml:space="preserve"> in [</w:t>
      </w:r>
      <w:r w:rsidR="00434D5F">
        <w:rPr>
          <w:lang w:val="en-GB" w:eastAsia="zh-CN"/>
        </w:rPr>
        <w:t>1</w:t>
      </w:r>
      <w:r>
        <w:rPr>
          <w:lang w:val="en-GB" w:eastAsia="zh-CN"/>
        </w:rPr>
        <w:t xml:space="preserve">]. RAN1 </w:t>
      </w:r>
      <w:r w:rsidR="00356439">
        <w:rPr>
          <w:lang w:val="en-GB" w:eastAsia="zh-CN"/>
        </w:rPr>
        <w:t xml:space="preserve">has identified a feature group (29-1) consisting of support for PEI and subgrouping. </w:t>
      </w:r>
      <w:r w:rsidR="008D1B50">
        <w:rPr>
          <w:lang w:val="en-GB" w:eastAsia="zh-CN"/>
        </w:rPr>
        <w:t xml:space="preserve">It is for RAN2 to discuss further if PEI and subgrouping are separate capabilities, and whether explicit capability signalling is needed: </w:t>
      </w:r>
    </w:p>
    <w:tbl>
      <w:tblPr>
        <w:tblW w:w="1148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2"/>
        <w:gridCol w:w="2409"/>
        <w:gridCol w:w="1276"/>
        <w:gridCol w:w="1701"/>
        <w:gridCol w:w="3260"/>
        <w:gridCol w:w="1418"/>
      </w:tblGrid>
      <w:tr w:rsidR="00356439" w:rsidRPr="00C80113" w14:paraId="494D771B" w14:textId="77777777" w:rsidTr="006A38F9">
        <w:trPr>
          <w:trHeight w:val="20"/>
        </w:trPr>
        <w:tc>
          <w:tcPr>
            <w:tcW w:w="567" w:type="dxa"/>
            <w:tcBorders>
              <w:top w:val="single" w:sz="4" w:space="0" w:color="auto"/>
              <w:left w:val="single" w:sz="4" w:space="0" w:color="auto"/>
              <w:bottom w:val="single" w:sz="4" w:space="0" w:color="auto"/>
              <w:right w:val="single" w:sz="4" w:space="0" w:color="auto"/>
            </w:tcBorders>
            <w:hideMark/>
          </w:tcPr>
          <w:p w14:paraId="402BFF94"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lastRenderedPageBreak/>
              <w:t>Index</w:t>
            </w:r>
          </w:p>
        </w:tc>
        <w:tc>
          <w:tcPr>
            <w:tcW w:w="852" w:type="dxa"/>
            <w:tcBorders>
              <w:top w:val="single" w:sz="4" w:space="0" w:color="auto"/>
              <w:left w:val="single" w:sz="4" w:space="0" w:color="auto"/>
              <w:bottom w:val="single" w:sz="4" w:space="0" w:color="auto"/>
              <w:right w:val="single" w:sz="4" w:space="0" w:color="auto"/>
            </w:tcBorders>
            <w:hideMark/>
          </w:tcPr>
          <w:p w14:paraId="72F89A58"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Feature group</w:t>
            </w:r>
          </w:p>
        </w:tc>
        <w:tc>
          <w:tcPr>
            <w:tcW w:w="2409" w:type="dxa"/>
            <w:tcBorders>
              <w:top w:val="single" w:sz="4" w:space="0" w:color="auto"/>
              <w:left w:val="single" w:sz="4" w:space="0" w:color="auto"/>
              <w:bottom w:val="single" w:sz="4" w:space="0" w:color="auto"/>
              <w:right w:val="single" w:sz="4" w:space="0" w:color="auto"/>
            </w:tcBorders>
            <w:hideMark/>
          </w:tcPr>
          <w:p w14:paraId="46460A0B"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Components</w:t>
            </w:r>
          </w:p>
        </w:tc>
        <w:tc>
          <w:tcPr>
            <w:tcW w:w="1276" w:type="dxa"/>
            <w:tcBorders>
              <w:top w:val="single" w:sz="4" w:space="0" w:color="auto"/>
              <w:left w:val="single" w:sz="4" w:space="0" w:color="auto"/>
              <w:bottom w:val="single" w:sz="4" w:space="0" w:color="auto"/>
              <w:right w:val="single" w:sz="4" w:space="0" w:color="auto"/>
            </w:tcBorders>
            <w:hideMark/>
          </w:tcPr>
          <w:p w14:paraId="07FC2D61"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Need for the gNB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70658C7F" w14:textId="77777777" w:rsidR="00356439" w:rsidRPr="00C80113" w:rsidRDefault="00356439" w:rsidP="006A38F9">
            <w:pPr>
              <w:pStyle w:val="TAN"/>
              <w:ind w:left="0" w:firstLine="0"/>
              <w:rPr>
                <w:rFonts w:ascii="Times New Roman" w:hAnsi="Times New Roman"/>
                <w:b/>
                <w:sz w:val="12"/>
                <w:szCs w:val="12"/>
                <w:lang w:eastAsia="ja-JP"/>
              </w:rPr>
            </w:pPr>
            <w:r w:rsidRPr="00C80113">
              <w:rPr>
                <w:rFonts w:ascii="Times New Roman" w:hAnsi="Times New Roman"/>
                <w:b/>
                <w:sz w:val="12"/>
                <w:szCs w:val="12"/>
                <w:lang w:eastAsia="ja-JP"/>
              </w:rPr>
              <w:t>Consequence if the feature is not supported by the UE</w:t>
            </w:r>
          </w:p>
        </w:tc>
        <w:tc>
          <w:tcPr>
            <w:tcW w:w="3260" w:type="dxa"/>
            <w:tcBorders>
              <w:top w:val="single" w:sz="4" w:space="0" w:color="auto"/>
              <w:left w:val="single" w:sz="4" w:space="0" w:color="auto"/>
              <w:bottom w:val="single" w:sz="4" w:space="0" w:color="auto"/>
              <w:right w:val="single" w:sz="4" w:space="0" w:color="auto"/>
            </w:tcBorders>
            <w:hideMark/>
          </w:tcPr>
          <w:p w14:paraId="02CBCF10"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Note</w:t>
            </w:r>
          </w:p>
        </w:tc>
        <w:tc>
          <w:tcPr>
            <w:tcW w:w="1418" w:type="dxa"/>
            <w:tcBorders>
              <w:top w:val="single" w:sz="4" w:space="0" w:color="auto"/>
              <w:left w:val="single" w:sz="4" w:space="0" w:color="auto"/>
              <w:bottom w:val="single" w:sz="4" w:space="0" w:color="auto"/>
              <w:right w:val="single" w:sz="4" w:space="0" w:color="auto"/>
            </w:tcBorders>
            <w:hideMark/>
          </w:tcPr>
          <w:p w14:paraId="5FD35414"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Mandatory/Optional</w:t>
            </w:r>
          </w:p>
        </w:tc>
      </w:tr>
      <w:tr w:rsidR="00356439" w:rsidRPr="00C80113" w14:paraId="5BABDE70" w14:textId="77777777" w:rsidTr="006A38F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BDF309C" w14:textId="77777777" w:rsidR="00356439" w:rsidRPr="00C80113" w:rsidRDefault="00356439" w:rsidP="006A38F9">
            <w:pPr>
              <w:pStyle w:val="TAL"/>
              <w:rPr>
                <w:rFonts w:ascii="Times New Roman" w:hAnsi="Times New Roman"/>
                <w:sz w:val="12"/>
                <w:szCs w:val="12"/>
                <w:lang w:eastAsia="ja-JP"/>
              </w:rPr>
            </w:pPr>
            <w:r w:rsidRPr="00C80113">
              <w:rPr>
                <w:rFonts w:ascii="Times New Roman" w:hAnsi="Times New Roman"/>
                <w:sz w:val="12"/>
                <w:szCs w:val="12"/>
                <w:lang w:eastAsia="ja-JP"/>
              </w:rPr>
              <w:t>29-1</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7C58966D" w14:textId="77777777" w:rsidR="00356439" w:rsidRPr="00C80113" w:rsidRDefault="00356439" w:rsidP="006A38F9">
            <w:pPr>
              <w:pStyle w:val="TAL"/>
              <w:rPr>
                <w:rFonts w:ascii="Times New Roman" w:eastAsia="SimSun" w:hAnsi="Times New Roman"/>
                <w:sz w:val="12"/>
                <w:szCs w:val="12"/>
                <w:lang w:eastAsia="zh-CN"/>
              </w:rPr>
            </w:pPr>
            <w:r w:rsidRPr="00C80113">
              <w:rPr>
                <w:rFonts w:ascii="Times New Roman" w:eastAsia="SimSun" w:hAnsi="Times New Roman"/>
                <w:sz w:val="12"/>
                <w:szCs w:val="12"/>
                <w:lang w:eastAsia="zh-CN"/>
              </w:rPr>
              <w:t>Paging enhancement</w:t>
            </w:r>
          </w:p>
        </w:tc>
        <w:tc>
          <w:tcPr>
            <w:tcW w:w="2409" w:type="dxa"/>
            <w:tcBorders>
              <w:top w:val="single" w:sz="4" w:space="0" w:color="auto"/>
              <w:left w:val="single" w:sz="4" w:space="0" w:color="auto"/>
              <w:bottom w:val="single" w:sz="4" w:space="0" w:color="auto"/>
              <w:right w:val="single" w:sz="4" w:space="0" w:color="auto"/>
            </w:tcBorders>
            <w:shd w:val="clear" w:color="auto" w:fill="FFFF00"/>
          </w:tcPr>
          <w:p w14:paraId="6D8FD7EB" w14:textId="77777777" w:rsidR="00356439" w:rsidRPr="00C80113" w:rsidRDefault="00356439" w:rsidP="006A38F9">
            <w:pPr>
              <w:autoSpaceDE w:val="0"/>
              <w:autoSpaceDN w:val="0"/>
              <w:adjustRightInd w:val="0"/>
              <w:snapToGrid w:val="0"/>
              <w:spacing w:afterLines="50" w:after="120"/>
              <w:contextualSpacing/>
              <w:jc w:val="both"/>
              <w:rPr>
                <w:rFonts w:ascii="Times New Roman" w:hAnsi="Times New Roman"/>
                <w:sz w:val="12"/>
                <w:szCs w:val="12"/>
              </w:rPr>
            </w:pPr>
            <w:r w:rsidRPr="00C80113">
              <w:rPr>
                <w:rFonts w:ascii="Times New Roman" w:hAnsi="Times New Roman"/>
                <w:sz w:val="12"/>
                <w:szCs w:val="12"/>
              </w:rPr>
              <w:t>1. Support paging early indication</w:t>
            </w:r>
          </w:p>
          <w:p w14:paraId="425B4A2E" w14:textId="77777777" w:rsidR="00356439" w:rsidRPr="00C80113" w:rsidRDefault="00356439" w:rsidP="006A38F9">
            <w:pPr>
              <w:autoSpaceDE w:val="0"/>
              <w:autoSpaceDN w:val="0"/>
              <w:adjustRightInd w:val="0"/>
              <w:snapToGrid w:val="0"/>
              <w:contextualSpacing/>
              <w:jc w:val="both"/>
              <w:rPr>
                <w:rFonts w:ascii="Times New Roman" w:hAnsi="Times New Roman"/>
                <w:sz w:val="12"/>
                <w:szCs w:val="12"/>
              </w:rPr>
            </w:pPr>
            <w:r w:rsidRPr="00C80113">
              <w:rPr>
                <w:rFonts w:ascii="Times New Roman" w:hAnsi="Times New Roman"/>
                <w:sz w:val="12"/>
                <w:szCs w:val="12"/>
              </w:rPr>
              <w:t>2. Support UE subgroup indication</w:t>
            </w:r>
          </w:p>
          <w:p w14:paraId="4339B1A2" w14:textId="77777777" w:rsidR="00356439" w:rsidRPr="00C80113" w:rsidRDefault="00356439" w:rsidP="006A38F9">
            <w:pPr>
              <w:autoSpaceDE w:val="0"/>
              <w:autoSpaceDN w:val="0"/>
              <w:adjustRightInd w:val="0"/>
              <w:snapToGrid w:val="0"/>
              <w:contextualSpacing/>
              <w:jc w:val="both"/>
              <w:rPr>
                <w:rFonts w:ascii="Times New Roman" w:hAnsi="Times New Roman"/>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607569" w14:textId="0515642F" w:rsidR="00356439" w:rsidRPr="00C80113" w:rsidRDefault="00356439" w:rsidP="006A38F9">
            <w:pPr>
              <w:pStyle w:val="TAL"/>
              <w:rPr>
                <w:rFonts w:ascii="Times New Roman" w:eastAsia="SimSun" w:hAnsi="Times New Roman"/>
                <w:sz w:val="12"/>
                <w:szCs w:val="12"/>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A8503A6" w14:textId="77777777" w:rsidR="00356439" w:rsidRPr="00C80113" w:rsidRDefault="00356439" w:rsidP="006A38F9">
            <w:pPr>
              <w:pStyle w:val="TAL"/>
              <w:rPr>
                <w:rFonts w:ascii="Times New Roman" w:eastAsia="SimSun" w:hAnsi="Times New Roman"/>
                <w:sz w:val="12"/>
                <w:szCs w:val="12"/>
                <w:lang w:val="en-US" w:eastAsia="zh-CN"/>
              </w:rPr>
            </w:pPr>
            <w:r w:rsidRPr="00C80113">
              <w:rPr>
                <w:rFonts w:ascii="Times New Roman" w:eastAsia="SimSun" w:hAnsi="Times New Roman"/>
                <w:sz w:val="12"/>
                <w:szCs w:val="12"/>
                <w:lang w:val="en-US" w:eastAsia="zh-CN"/>
              </w:rPr>
              <w:t>UE does not support paging enhancement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BE9F497" w14:textId="77777777" w:rsidR="00356439" w:rsidRPr="00C80113" w:rsidRDefault="00356439" w:rsidP="006A38F9">
            <w:pPr>
              <w:pStyle w:val="TAL"/>
              <w:rPr>
                <w:rFonts w:ascii="Times New Roman" w:hAnsi="Times New Roman"/>
                <w:sz w:val="12"/>
                <w:szCs w:val="12"/>
              </w:rPr>
            </w:pPr>
            <w:r w:rsidRPr="00C80113">
              <w:rPr>
                <w:rFonts w:ascii="Times New Roman" w:hAnsi="Times New Roman"/>
                <w:sz w:val="12"/>
                <w:szCs w:val="12"/>
              </w:rPr>
              <w:t>For component 2, it is up to RAN2 whether/how to separate the capability for UE subgroup indication</w:t>
            </w:r>
          </w:p>
          <w:p w14:paraId="2958ECF2" w14:textId="77777777" w:rsidR="00356439" w:rsidRPr="00C80113" w:rsidRDefault="00356439" w:rsidP="006A38F9">
            <w:pPr>
              <w:pStyle w:val="TAL"/>
              <w:rPr>
                <w:rFonts w:ascii="Times New Roman" w:hAnsi="Times New Roman"/>
                <w:sz w:val="12"/>
                <w:szCs w:val="12"/>
              </w:rPr>
            </w:pPr>
            <w:r w:rsidRPr="00C80113">
              <w:rPr>
                <w:rFonts w:ascii="Times New Roman" w:hAnsi="Times New Roman"/>
                <w:sz w:val="12"/>
                <w:szCs w:val="12"/>
              </w:rPr>
              <w:t xml:space="preserve">Leave RAN2 to decide whether ‘optional with capability signalling’ or ‘optional without capability signalling’ </w:t>
            </w:r>
          </w:p>
          <w:p w14:paraId="5386BA35" w14:textId="77777777" w:rsidR="00356439" w:rsidRPr="00C80113" w:rsidRDefault="00356439" w:rsidP="006A38F9">
            <w:pPr>
              <w:pStyle w:val="TAL"/>
              <w:rPr>
                <w:rFonts w:ascii="Times New Roman" w:hAnsi="Times New Roman"/>
                <w:sz w:val="12"/>
                <w:szCs w:val="12"/>
              </w:rPr>
            </w:pPr>
            <w:r w:rsidRPr="00C80113">
              <w:rPr>
                <w:rFonts w:ascii="Times New Roman" w:hAnsi="Times New Roman"/>
                <w:sz w:val="12"/>
                <w:szCs w:val="12"/>
              </w:rPr>
              <w:t>Leave RAN2 to decide whether Need for the gNB to know if the feature is supported is Yes or No</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2A2693B" w14:textId="785737EA" w:rsidR="00356439" w:rsidRPr="00C80113" w:rsidRDefault="00356439" w:rsidP="006A38F9">
            <w:pPr>
              <w:pStyle w:val="TAL"/>
              <w:rPr>
                <w:rFonts w:ascii="Times New Roman" w:hAnsi="Times New Roman"/>
                <w:sz w:val="12"/>
                <w:szCs w:val="12"/>
                <w:lang w:eastAsia="ja-JP"/>
              </w:rPr>
            </w:pPr>
            <w:r w:rsidRPr="00C80113">
              <w:rPr>
                <w:rFonts w:ascii="Times New Roman" w:hAnsi="Times New Roman"/>
                <w:sz w:val="12"/>
                <w:szCs w:val="12"/>
                <w:lang w:eastAsia="ja-JP"/>
              </w:rPr>
              <w:t xml:space="preserve">Optional </w:t>
            </w:r>
          </w:p>
        </w:tc>
      </w:tr>
    </w:tbl>
    <w:p w14:paraId="1DEB3AB7" w14:textId="1FE5C009" w:rsidR="00FA27C0" w:rsidRDefault="009D725A" w:rsidP="00FA27C0">
      <w:pPr>
        <w:pStyle w:val="Heading1"/>
      </w:pPr>
      <w:r>
        <w:t>Discussion</w:t>
      </w:r>
      <w:bookmarkEnd w:id="4"/>
    </w:p>
    <w:p w14:paraId="34300270" w14:textId="77FCE0E3" w:rsidR="009B49DC" w:rsidRDefault="009B49DC" w:rsidP="009B49DC">
      <w:pPr>
        <w:pStyle w:val="Heading2"/>
      </w:pPr>
      <w:r w:rsidRPr="009B49DC">
        <w:t>Configuration issues</w:t>
      </w:r>
    </w:p>
    <w:p w14:paraId="3B4C4BF1" w14:textId="54EC035F" w:rsidR="00D05482" w:rsidRPr="007110B8" w:rsidRDefault="000E2336" w:rsidP="007110B8">
      <w:pPr>
        <w:jc w:val="both"/>
        <w:rPr>
          <w:lang w:val="en-GB" w:eastAsia="zh-CN"/>
        </w:rPr>
      </w:pPr>
      <w:r w:rsidRPr="007110B8">
        <w:rPr>
          <w:lang w:val="en-GB" w:eastAsia="zh-CN"/>
        </w:rPr>
        <w:t xml:space="preserve">In the current </w:t>
      </w:r>
      <w:r w:rsidR="00491794">
        <w:rPr>
          <w:lang w:val="en-GB" w:eastAsia="zh-CN"/>
        </w:rPr>
        <w:t xml:space="preserve">running </w:t>
      </w:r>
      <w:r w:rsidR="00491794" w:rsidRPr="00CB684E">
        <w:rPr>
          <w:lang w:val="en-GB" w:eastAsia="zh-CN"/>
        </w:rPr>
        <w:t>CR</w:t>
      </w:r>
      <w:r w:rsidR="00CB684E" w:rsidRPr="00CB684E">
        <w:rPr>
          <w:lang w:val="en-GB" w:eastAsia="zh-CN"/>
        </w:rPr>
        <w:t xml:space="preserve"> </w:t>
      </w:r>
      <w:hyperlink r:id="rId10" w:history="1">
        <w:r w:rsidR="00E55E2B" w:rsidRPr="00E55E2B">
          <w:rPr>
            <w:rStyle w:val="Hyperlink"/>
            <w:lang w:val="en-GB" w:eastAsia="zh-CN"/>
          </w:rPr>
          <w:t>R2-2201814</w:t>
        </w:r>
      </w:hyperlink>
      <w:r w:rsidR="00E55E2B">
        <w:rPr>
          <w:lang w:val="en-GB" w:eastAsia="zh-CN"/>
        </w:rPr>
        <w:t xml:space="preserve"> </w:t>
      </w:r>
      <w:r>
        <w:rPr>
          <w:lang w:val="en-GB" w:eastAsia="zh-CN"/>
        </w:rPr>
        <w:t xml:space="preserve">the PEI configuration is </w:t>
      </w:r>
      <w:r w:rsidR="00984AD8">
        <w:rPr>
          <w:lang w:val="en-GB" w:eastAsia="zh-CN"/>
        </w:rPr>
        <w:t>included in</w:t>
      </w:r>
      <w:r>
        <w:rPr>
          <w:lang w:val="en-GB" w:eastAsia="zh-CN"/>
        </w:rPr>
        <w:t xml:space="preserve"> </w:t>
      </w:r>
      <w:r w:rsidRPr="007110B8">
        <w:rPr>
          <w:i/>
          <w:iCs/>
          <w:lang w:val="en-GB" w:eastAsia="zh-CN"/>
        </w:rPr>
        <w:t>DownlinkConfigCommonSIB</w:t>
      </w:r>
      <w:r w:rsidRPr="000E2336">
        <w:rPr>
          <w:lang w:val="en-GB" w:eastAsia="zh-CN"/>
        </w:rPr>
        <w:t xml:space="preserve"> </w:t>
      </w:r>
      <w:r w:rsidR="00012DFF">
        <w:rPr>
          <w:lang w:val="en-GB" w:eastAsia="zh-CN"/>
        </w:rPr>
        <w:t>which is included</w:t>
      </w:r>
      <w:r>
        <w:rPr>
          <w:lang w:val="en-GB" w:eastAsia="zh-CN"/>
        </w:rPr>
        <w:t xml:space="preserve"> </w:t>
      </w:r>
      <w:r w:rsidR="00012DFF">
        <w:rPr>
          <w:lang w:val="en-GB" w:eastAsia="zh-CN"/>
        </w:rPr>
        <w:t xml:space="preserve">in </w:t>
      </w:r>
      <w:r>
        <w:rPr>
          <w:lang w:val="en-GB" w:eastAsia="zh-CN"/>
        </w:rPr>
        <w:t xml:space="preserve">SIB1. </w:t>
      </w:r>
      <w:r w:rsidR="009F294E">
        <w:rPr>
          <w:lang w:val="en-GB" w:eastAsia="zh-CN"/>
        </w:rPr>
        <w:t xml:space="preserve">Although the </w:t>
      </w:r>
      <w:r w:rsidR="00984AD8">
        <w:rPr>
          <w:lang w:val="en-GB" w:eastAsia="zh-CN"/>
        </w:rPr>
        <w:t xml:space="preserve">legacy </w:t>
      </w:r>
      <w:r w:rsidR="009F294E">
        <w:rPr>
          <w:lang w:val="en-GB" w:eastAsia="zh-CN"/>
        </w:rPr>
        <w:t>paging configuration parameters are included in SIB1, we do not see a strong need to also include the PEI configuration there. In our opinion it is unnecessary to include non-essential information in SIB1 which is transmitted at a high rate</w:t>
      </w:r>
      <w:r w:rsidR="001D496A">
        <w:rPr>
          <w:lang w:val="en-GB" w:eastAsia="zh-CN"/>
        </w:rPr>
        <w:t>, resulting in unnecessary overhead and worse spectral efficiency</w:t>
      </w:r>
      <w:r w:rsidR="009F294E">
        <w:rPr>
          <w:lang w:val="en-GB" w:eastAsia="zh-CN"/>
        </w:rPr>
        <w:t xml:space="preserve">. We think that PEI configuration logically is </w:t>
      </w:r>
      <w:r w:rsidR="002A42D0">
        <w:rPr>
          <w:lang w:val="en-GB" w:eastAsia="zh-CN"/>
        </w:rPr>
        <w:t xml:space="preserve">equally </w:t>
      </w:r>
      <w:r w:rsidR="009F294E">
        <w:rPr>
          <w:lang w:val="en-GB" w:eastAsia="zh-CN"/>
        </w:rPr>
        <w:t xml:space="preserve">related to </w:t>
      </w:r>
      <w:r w:rsidR="00A16AA7">
        <w:rPr>
          <w:lang w:val="en-GB" w:eastAsia="zh-CN"/>
        </w:rPr>
        <w:t xml:space="preserve">the Rel-17 idle/inactive TRS resource provision used for </w:t>
      </w:r>
      <w:r w:rsidR="009F294E">
        <w:rPr>
          <w:lang w:val="en-GB" w:eastAsia="zh-CN"/>
        </w:rPr>
        <w:t>power saving</w:t>
      </w:r>
      <w:r w:rsidR="00A16AA7">
        <w:rPr>
          <w:lang w:val="en-GB" w:eastAsia="zh-CN"/>
        </w:rPr>
        <w:t>.</w:t>
      </w:r>
      <w:r w:rsidR="009F294E">
        <w:rPr>
          <w:lang w:val="en-GB" w:eastAsia="zh-CN"/>
        </w:rPr>
        <w:t xml:space="preserve"> </w:t>
      </w:r>
      <w:r w:rsidR="00507EA2">
        <w:rPr>
          <w:lang w:val="en-GB" w:eastAsia="zh-CN"/>
        </w:rPr>
        <w:t xml:space="preserve">Therefore, we  </w:t>
      </w:r>
      <w:r w:rsidR="002A42D0">
        <w:rPr>
          <w:lang w:val="en-GB" w:eastAsia="zh-CN"/>
        </w:rPr>
        <w:t xml:space="preserve">think that </w:t>
      </w:r>
      <w:r w:rsidR="00B23DFB">
        <w:rPr>
          <w:lang w:val="en-GB" w:eastAsia="zh-CN"/>
        </w:rPr>
        <w:t xml:space="preserve">all </w:t>
      </w:r>
      <w:r w:rsidR="002A42D0">
        <w:rPr>
          <w:lang w:val="en-GB" w:eastAsia="zh-CN"/>
        </w:rPr>
        <w:t xml:space="preserve">power saving </w:t>
      </w:r>
      <w:r w:rsidR="00B23DFB">
        <w:rPr>
          <w:lang w:val="en-GB" w:eastAsia="zh-CN"/>
        </w:rPr>
        <w:t>related configuration</w:t>
      </w:r>
      <w:r w:rsidR="002A42D0">
        <w:rPr>
          <w:lang w:val="en-GB" w:eastAsia="zh-CN"/>
        </w:rPr>
        <w:t>s</w:t>
      </w:r>
      <w:r w:rsidR="00B23DFB">
        <w:rPr>
          <w:lang w:val="en-GB" w:eastAsia="zh-CN"/>
        </w:rPr>
        <w:t xml:space="preserve"> </w:t>
      </w:r>
      <w:r w:rsidR="002A42D0">
        <w:rPr>
          <w:lang w:val="en-GB" w:eastAsia="zh-CN"/>
        </w:rPr>
        <w:t xml:space="preserve">could be </w:t>
      </w:r>
      <w:r w:rsidR="00B23DFB">
        <w:rPr>
          <w:lang w:val="en-GB" w:eastAsia="zh-CN"/>
        </w:rPr>
        <w:t>in a common power saving SIB.</w:t>
      </w:r>
      <w:r w:rsidR="009F294E">
        <w:rPr>
          <w:lang w:val="en-GB" w:eastAsia="zh-CN"/>
        </w:rPr>
        <w:t xml:space="preserve">  </w:t>
      </w:r>
    </w:p>
    <w:p w14:paraId="0B248D6C" w14:textId="004BF7F4" w:rsidR="003B13F3" w:rsidRDefault="003B13F3" w:rsidP="008D60FF">
      <w:pPr>
        <w:ind w:left="1134" w:hanging="1134"/>
        <w:jc w:val="both"/>
        <w:rPr>
          <w:lang w:val="en-GB" w:eastAsia="zh-CN"/>
        </w:rPr>
      </w:pPr>
      <w:r w:rsidRPr="005959AA">
        <w:rPr>
          <w:b/>
          <w:bCs/>
          <w:lang w:val="en-GB" w:eastAsia="zh-CN"/>
        </w:rPr>
        <w:t xml:space="preserve">Proposal </w:t>
      </w:r>
      <w:r w:rsidR="00A83D26">
        <w:rPr>
          <w:b/>
          <w:bCs/>
          <w:lang w:val="en-GB" w:eastAsia="zh-CN"/>
        </w:rPr>
        <w:t>1</w:t>
      </w:r>
      <w:r w:rsidRPr="007110B8">
        <w:rPr>
          <w:b/>
          <w:bCs/>
          <w:lang w:val="en-GB" w:eastAsia="zh-CN"/>
        </w:rPr>
        <w:t>: PEI config</w:t>
      </w:r>
      <w:r w:rsidR="008E1AE7">
        <w:rPr>
          <w:b/>
          <w:bCs/>
          <w:lang w:val="en-GB" w:eastAsia="zh-CN"/>
        </w:rPr>
        <w:t>uration</w:t>
      </w:r>
      <w:r w:rsidR="001F4971">
        <w:rPr>
          <w:b/>
          <w:bCs/>
          <w:lang w:val="en-GB" w:eastAsia="zh-CN"/>
        </w:rPr>
        <w:t xml:space="preserve"> is</w:t>
      </w:r>
      <w:r w:rsidRPr="007110B8">
        <w:rPr>
          <w:b/>
          <w:bCs/>
          <w:lang w:val="en-GB" w:eastAsia="zh-CN"/>
        </w:rPr>
        <w:t xml:space="preserve"> included in SIBx</w:t>
      </w:r>
      <w:r w:rsidR="00AF0B81" w:rsidRPr="007110B8">
        <w:rPr>
          <w:b/>
          <w:bCs/>
          <w:lang w:val="en-GB" w:eastAsia="zh-CN"/>
        </w:rPr>
        <w:t xml:space="preserve"> currently proposed for TRS </w:t>
      </w:r>
      <w:r w:rsidR="003C1BB0">
        <w:rPr>
          <w:b/>
          <w:bCs/>
          <w:lang w:val="en-GB" w:eastAsia="zh-CN"/>
        </w:rPr>
        <w:t xml:space="preserve">resource </w:t>
      </w:r>
      <w:r w:rsidR="00AF0B81" w:rsidRPr="007110B8">
        <w:rPr>
          <w:b/>
          <w:bCs/>
          <w:lang w:val="en-GB" w:eastAsia="zh-CN"/>
        </w:rPr>
        <w:t>configuration.</w:t>
      </w:r>
    </w:p>
    <w:p w14:paraId="403145DA" w14:textId="2777B557" w:rsidR="009B49DC" w:rsidRDefault="00A63066" w:rsidP="009B49DC">
      <w:pPr>
        <w:pStyle w:val="Heading2"/>
      </w:pPr>
      <w:r>
        <w:t>Maximum</w:t>
      </w:r>
      <w:r w:rsidR="009B49DC" w:rsidRPr="009B49DC">
        <w:t xml:space="preserve"> number of CN-groups</w:t>
      </w:r>
    </w:p>
    <w:p w14:paraId="63461710" w14:textId="3678ECEE" w:rsidR="00647461" w:rsidRDefault="00647461" w:rsidP="007110B8">
      <w:pPr>
        <w:jc w:val="both"/>
        <w:rPr>
          <w:lang w:val="en-GB" w:eastAsia="zh-CN"/>
        </w:rPr>
      </w:pPr>
      <w:r>
        <w:rPr>
          <w:lang w:val="en-GB" w:eastAsia="zh-CN"/>
        </w:rPr>
        <w:t xml:space="preserve">RAN1 decided to support up to 8 subgroups, and the number of subgroups used in the cell is indicated via </w:t>
      </w:r>
      <w:r w:rsidRPr="0013204C">
        <w:rPr>
          <w:i/>
          <w:iCs/>
          <w:lang w:val="en-GB" w:eastAsia="zh-CN"/>
        </w:rPr>
        <w:t>subgroupsNumPerPO</w:t>
      </w:r>
      <w:r>
        <w:rPr>
          <w:lang w:val="en-GB" w:eastAsia="zh-CN"/>
        </w:rPr>
        <w:t xml:space="preserve"> in system information. In case the CN decides to only use e.g.</w:t>
      </w:r>
      <w:r w:rsidR="00790F99">
        <w:rPr>
          <w:lang w:val="en-GB" w:eastAsia="zh-CN"/>
        </w:rPr>
        <w:t>,</w:t>
      </w:r>
      <w:r>
        <w:rPr>
          <w:lang w:val="en-GB" w:eastAsia="zh-CN"/>
        </w:rPr>
        <w:t xml:space="preserve"> up to 4 subgroups, it is </w:t>
      </w:r>
      <w:r w:rsidR="003D0DDB">
        <w:rPr>
          <w:lang w:val="en-GB" w:eastAsia="zh-CN"/>
        </w:rPr>
        <w:t xml:space="preserve">necessary </w:t>
      </w:r>
      <w:r>
        <w:rPr>
          <w:lang w:val="en-GB" w:eastAsia="zh-CN"/>
        </w:rPr>
        <w:t xml:space="preserve">to inform the RAN about this for the </w:t>
      </w:r>
      <w:r w:rsidRPr="00463BA3">
        <w:rPr>
          <w:i/>
          <w:iCs/>
          <w:lang w:val="en-GB" w:eastAsia="zh-CN"/>
        </w:rPr>
        <w:t>subgroupsNumPerPO</w:t>
      </w:r>
      <w:r>
        <w:rPr>
          <w:lang w:val="en-GB" w:eastAsia="zh-CN"/>
        </w:rPr>
        <w:t xml:space="preserve"> configuration:</w:t>
      </w:r>
    </w:p>
    <w:p w14:paraId="3674965C" w14:textId="5826452B" w:rsidR="00647461" w:rsidRPr="007110B8" w:rsidRDefault="00647461" w:rsidP="008D60FF">
      <w:pPr>
        <w:spacing w:before="200"/>
        <w:ind w:left="1134" w:hanging="1134"/>
        <w:jc w:val="both"/>
        <w:rPr>
          <w:b/>
          <w:bCs/>
          <w:lang w:val="en-GB" w:eastAsia="zh-CN"/>
        </w:rPr>
      </w:pPr>
      <w:r w:rsidRPr="006B5F90">
        <w:rPr>
          <w:b/>
          <w:bCs/>
          <w:lang w:val="en-GB" w:eastAsia="zh-CN"/>
        </w:rPr>
        <w:t xml:space="preserve">Proposal </w:t>
      </w:r>
      <w:r w:rsidR="00B84080">
        <w:rPr>
          <w:b/>
          <w:bCs/>
          <w:lang w:val="en-GB" w:eastAsia="zh-CN"/>
        </w:rPr>
        <w:t>2</w:t>
      </w:r>
      <w:r w:rsidRPr="007110B8">
        <w:rPr>
          <w:b/>
          <w:bCs/>
          <w:lang w:val="en-GB" w:eastAsia="zh-CN"/>
        </w:rPr>
        <w:t xml:space="preserve">: CN informs RAN about the number of </w:t>
      </w:r>
      <w:r w:rsidRPr="007110B8">
        <w:rPr>
          <w:b/>
          <w:bCs/>
          <w:i/>
          <w:iCs/>
          <w:lang w:val="en-GB" w:eastAsia="zh-CN"/>
        </w:rPr>
        <w:t>subgroupsNumPerPO</w:t>
      </w:r>
      <w:r w:rsidRPr="007110B8">
        <w:rPr>
          <w:b/>
          <w:bCs/>
          <w:lang w:val="en-GB" w:eastAsia="zh-CN"/>
        </w:rPr>
        <w:t xml:space="preserve"> to use for the CN-assigned subgrouping. </w:t>
      </w:r>
    </w:p>
    <w:p w14:paraId="7AF62B78" w14:textId="6AE19838" w:rsidR="009B49DC" w:rsidRPr="007110B8" w:rsidRDefault="009B49DC" w:rsidP="009B49DC">
      <w:pPr>
        <w:pStyle w:val="Heading2"/>
      </w:pPr>
      <w:r w:rsidRPr="007110B8">
        <w:t>PEI and eDRX</w:t>
      </w:r>
    </w:p>
    <w:p w14:paraId="1E0C27F9" w14:textId="14C6269A" w:rsidR="00C3711B" w:rsidRDefault="00C3711B" w:rsidP="00C3711B">
      <w:pPr>
        <w:rPr>
          <w:rFonts w:cs="Arial"/>
        </w:rPr>
      </w:pPr>
      <w:r>
        <w:rPr>
          <w:rFonts w:cs="Arial"/>
        </w:rPr>
        <w:t>In previous RAN2 meeting, there were discussions related to whether and how PEI is applicable to eDRX when Paging Transmission Window (PTW) is configured.</w:t>
      </w:r>
      <w:r w:rsidR="00434160">
        <w:rPr>
          <w:rFonts w:cs="Arial"/>
        </w:rPr>
        <w:t xml:space="preserve"> It was agreed to aim to support PEI with eDRX:</w:t>
      </w:r>
    </w:p>
    <w:p w14:paraId="536631B4" w14:textId="77777777" w:rsidR="00C3711B" w:rsidRDefault="00C3711B" w:rsidP="00C3711B">
      <w:pPr>
        <w:pStyle w:val="Agreement"/>
        <w:numPr>
          <w:ilvl w:val="0"/>
          <w:numId w:val="0"/>
        </w:numPr>
        <w:spacing w:before="0"/>
        <w:contextualSpacing/>
        <w:rPr>
          <w:rFonts w:ascii="Times New Roman" w:hAnsi="Times New Roman"/>
          <w:szCs w:val="20"/>
          <w:u w:val="single"/>
          <w:lang w:eastAsia="zh-TW"/>
        </w:rPr>
      </w:pPr>
    </w:p>
    <w:p w14:paraId="128DB3B7" w14:textId="423B3E86" w:rsidR="00C3711B" w:rsidRPr="0049707D" w:rsidRDefault="00C3711B" w:rsidP="00C3711B">
      <w:pPr>
        <w:pStyle w:val="Agreement"/>
        <w:numPr>
          <w:ilvl w:val="0"/>
          <w:numId w:val="0"/>
        </w:numPr>
        <w:spacing w:before="0"/>
        <w:ind w:firstLine="720"/>
        <w:contextualSpacing/>
        <w:rPr>
          <w:rFonts w:ascii="Times New Roman" w:hAnsi="Times New Roman"/>
          <w:szCs w:val="20"/>
          <w:u w:val="single"/>
          <w:lang w:eastAsia="zh-TW"/>
        </w:rPr>
      </w:pPr>
      <w:r w:rsidRPr="0049707D">
        <w:rPr>
          <w:rFonts w:ascii="Times New Roman" w:hAnsi="Times New Roman"/>
          <w:szCs w:val="20"/>
          <w:u w:val="single"/>
          <w:lang w:eastAsia="zh-TW"/>
        </w:rPr>
        <w:t>RAN2 #11</w:t>
      </w:r>
      <w:r>
        <w:rPr>
          <w:rFonts w:ascii="Times New Roman" w:hAnsi="Times New Roman"/>
          <w:szCs w:val="20"/>
          <w:u w:val="single"/>
          <w:lang w:eastAsia="zh-TW"/>
        </w:rPr>
        <w:t>6</w:t>
      </w:r>
      <w:r w:rsidR="00434160">
        <w:rPr>
          <w:rFonts w:ascii="Times New Roman" w:hAnsi="Times New Roman"/>
          <w:szCs w:val="20"/>
          <w:u w:val="single"/>
          <w:lang w:eastAsia="zh-TW"/>
        </w:rPr>
        <w:t>bis</w:t>
      </w:r>
      <w:r w:rsidRPr="0049707D">
        <w:rPr>
          <w:rFonts w:ascii="Times New Roman" w:hAnsi="Times New Roman"/>
          <w:szCs w:val="20"/>
          <w:u w:val="single"/>
          <w:lang w:eastAsia="zh-TW"/>
        </w:rPr>
        <w:t>-e Meeting</w:t>
      </w:r>
    </w:p>
    <w:p w14:paraId="455EA94F" w14:textId="77777777" w:rsidR="00434160" w:rsidRPr="0091494E" w:rsidRDefault="00434160" w:rsidP="00434160">
      <w:pPr>
        <w:pStyle w:val="Agreement"/>
        <w:numPr>
          <w:ilvl w:val="0"/>
          <w:numId w:val="17"/>
        </w:numPr>
        <w:ind w:left="1619"/>
      </w:pPr>
      <w:r>
        <w:t xml:space="preserve">RAN2 aims to </w:t>
      </w:r>
      <w:r w:rsidRPr="009F4078">
        <w:t>Support PEI and subgrouping</w:t>
      </w:r>
      <w:r w:rsidRPr="00263478">
        <w:t xml:space="preserve"> with eDRX. </w:t>
      </w:r>
      <w:r>
        <w:t xml:space="preserve">FFS the impact. </w:t>
      </w:r>
    </w:p>
    <w:p w14:paraId="28DB75C6" w14:textId="77777777" w:rsidR="00C3711B" w:rsidRDefault="00C3711B" w:rsidP="00C3711B">
      <w:pPr>
        <w:keepNext/>
        <w:jc w:val="both"/>
        <w:rPr>
          <w:rFonts w:cs="Arial"/>
        </w:rPr>
      </w:pPr>
    </w:p>
    <w:p w14:paraId="0641E97A" w14:textId="2AD67BD2" w:rsidR="00C3711B" w:rsidRDefault="00C3711B" w:rsidP="00C3711B">
      <w:pPr>
        <w:keepNext/>
        <w:jc w:val="both"/>
        <w:rPr>
          <w:rFonts w:cs="Arial"/>
        </w:rPr>
      </w:pPr>
      <w:r w:rsidRPr="267EE82B">
        <w:rPr>
          <w:rFonts w:cs="Arial"/>
        </w:rPr>
        <w:t xml:space="preserve">In our opinion PEI can be supported together with PTW </w:t>
      </w:r>
      <w:r w:rsidR="00434160" w:rsidRPr="267EE82B">
        <w:rPr>
          <w:rFonts w:cs="Arial"/>
        </w:rPr>
        <w:t xml:space="preserve">without any impact </w:t>
      </w:r>
      <w:r w:rsidRPr="267EE82B">
        <w:rPr>
          <w:rFonts w:cs="Arial"/>
        </w:rPr>
        <w:t xml:space="preserve">if a simple approach is taken. Such simple approach would </w:t>
      </w:r>
      <w:r w:rsidR="00914A44" w:rsidRPr="267EE82B">
        <w:rPr>
          <w:rFonts w:cs="Arial"/>
        </w:rPr>
        <w:t>be</w:t>
      </w:r>
      <w:r w:rsidRPr="267EE82B">
        <w:rPr>
          <w:rFonts w:cs="Arial"/>
        </w:rPr>
        <w:t xml:space="preserve"> that the UE wakes up at </w:t>
      </w:r>
      <w:r w:rsidR="002419CF" w:rsidRPr="267EE82B">
        <w:rPr>
          <w:rFonts w:cs="Arial"/>
        </w:rPr>
        <w:t xml:space="preserve">its </w:t>
      </w:r>
      <w:r w:rsidRPr="267EE82B">
        <w:rPr>
          <w:rFonts w:cs="Arial"/>
        </w:rPr>
        <w:t>configured PTW during which PEI is applicable to the POs within. In other words</w:t>
      </w:r>
      <w:r w:rsidR="002419CF" w:rsidRPr="267EE82B">
        <w:rPr>
          <w:rFonts w:cs="Arial"/>
        </w:rPr>
        <w:t>,</w:t>
      </w:r>
      <w:r w:rsidRPr="267EE82B">
        <w:rPr>
          <w:rFonts w:cs="Arial"/>
        </w:rPr>
        <w:t xml:space="preserve"> no special handling </w:t>
      </w:r>
      <w:r w:rsidR="002419CF" w:rsidRPr="267EE82B">
        <w:rPr>
          <w:rFonts w:cs="Arial"/>
        </w:rPr>
        <w:t xml:space="preserve">is introduced if PTW is configured properly by the NW such that all PEI occasions associated to the </w:t>
      </w:r>
      <w:r w:rsidR="00914A44" w:rsidRPr="267EE82B">
        <w:rPr>
          <w:rFonts w:cs="Arial"/>
        </w:rPr>
        <w:t xml:space="preserve">relevant </w:t>
      </w:r>
      <w:r w:rsidR="002419CF" w:rsidRPr="267EE82B">
        <w:rPr>
          <w:rFonts w:cs="Arial"/>
        </w:rPr>
        <w:t>POs are also within the PTW.</w:t>
      </w:r>
    </w:p>
    <w:p w14:paraId="30B4AAE0" w14:textId="5CB070D1" w:rsidR="00C3711B" w:rsidRDefault="006E4ADC" w:rsidP="008D60FF">
      <w:pPr>
        <w:ind w:left="1134" w:hanging="1134"/>
        <w:jc w:val="both"/>
        <w:rPr>
          <w:rFonts w:cs="Arial"/>
          <w:b/>
          <w:bCs/>
        </w:rPr>
      </w:pPr>
      <w:r w:rsidRPr="007F7234">
        <w:rPr>
          <w:b/>
          <w:bCs/>
          <w:iCs/>
        </w:rPr>
        <w:t xml:space="preserve">Proposal </w:t>
      </w:r>
      <w:r w:rsidR="00B84080">
        <w:rPr>
          <w:b/>
          <w:bCs/>
          <w:iCs/>
        </w:rPr>
        <w:t>3</w:t>
      </w:r>
      <w:r>
        <w:rPr>
          <w:iCs/>
        </w:rPr>
        <w:t xml:space="preserve">: </w:t>
      </w:r>
      <w:r w:rsidR="00C3711B" w:rsidRPr="007110B8">
        <w:rPr>
          <w:b/>
          <w:bCs/>
        </w:rPr>
        <w:t xml:space="preserve">No special handling is introduced for PEI when eDRX PTW is configured (if eDRX PTW is supported). </w:t>
      </w:r>
      <w:r w:rsidR="00C3711B" w:rsidRPr="007110B8">
        <w:rPr>
          <w:rFonts w:cs="Arial"/>
          <w:b/>
          <w:bCs/>
        </w:rPr>
        <w:t>The UE wakes up at configured PTW during which PEI is applicable to the POs within</w:t>
      </w:r>
      <w:r w:rsidRPr="007110B8">
        <w:rPr>
          <w:rFonts w:cs="Arial"/>
          <w:b/>
          <w:bCs/>
        </w:rPr>
        <w:t>.</w:t>
      </w:r>
    </w:p>
    <w:p w14:paraId="2176A3E3" w14:textId="0433F814" w:rsidR="00051E0B" w:rsidRPr="00C81EC4" w:rsidRDefault="00051E0B" w:rsidP="00051E0B">
      <w:pPr>
        <w:pStyle w:val="Heading2"/>
      </w:pPr>
      <w:r w:rsidRPr="00C81EC4">
        <w:t>P</w:t>
      </w:r>
      <w:r>
        <w:t>aging configuration for legacy and new UEs</w:t>
      </w:r>
    </w:p>
    <w:p w14:paraId="1B276A71" w14:textId="71642B5A" w:rsidR="001513FC" w:rsidRDefault="001513FC" w:rsidP="009E2FDA">
      <w:pPr>
        <w:rPr>
          <w:lang w:val="en-GB" w:eastAsia="zh-CN"/>
        </w:rPr>
      </w:pPr>
      <w:r>
        <w:rPr>
          <w:lang w:val="en-GB" w:eastAsia="zh-CN"/>
        </w:rPr>
        <w:t>RAN1</w:t>
      </w:r>
      <w:r w:rsidR="00A22598">
        <w:rPr>
          <w:lang w:val="en-GB" w:eastAsia="zh-CN"/>
        </w:rPr>
        <w:t xml:space="preserve"> agreed that in Rel-17 subgroups are conveyed via PEI only: </w:t>
      </w:r>
    </w:p>
    <w:p w14:paraId="45796E9C" w14:textId="77777777" w:rsidR="00A22598" w:rsidRPr="00A22598" w:rsidRDefault="00A22598" w:rsidP="007110B8">
      <w:pPr>
        <w:spacing w:after="0"/>
        <w:ind w:firstLine="1134"/>
        <w:rPr>
          <w:rFonts w:ascii="Times New Roman" w:hAnsi="Times New Roman"/>
          <w:sz w:val="16"/>
          <w:szCs w:val="16"/>
          <w:highlight w:val="green"/>
          <w:lang w:eastAsia="zh-CN"/>
        </w:rPr>
      </w:pPr>
      <w:r w:rsidRPr="00A22598">
        <w:rPr>
          <w:rFonts w:ascii="Times New Roman" w:hAnsi="Times New Roman"/>
          <w:sz w:val="16"/>
          <w:szCs w:val="16"/>
          <w:highlight w:val="green"/>
          <w:lang w:eastAsia="zh-CN"/>
        </w:rPr>
        <w:t>Agreement</w:t>
      </w:r>
    </w:p>
    <w:p w14:paraId="5E952126" w14:textId="77777777" w:rsidR="00A22598" w:rsidRPr="00A22598" w:rsidRDefault="00A22598" w:rsidP="007110B8">
      <w:pPr>
        <w:ind w:firstLine="1134"/>
        <w:rPr>
          <w:rFonts w:ascii="Times New Roman" w:hAnsi="Times New Roman"/>
          <w:sz w:val="16"/>
          <w:szCs w:val="16"/>
          <w:lang w:eastAsia="zh-CN"/>
        </w:rPr>
      </w:pPr>
      <w:r w:rsidRPr="00A22598">
        <w:rPr>
          <w:rFonts w:ascii="Times New Roman" w:hAnsi="Times New Roman"/>
          <w:sz w:val="16"/>
          <w:szCs w:val="16"/>
          <w:lang w:eastAsia="zh-CN"/>
        </w:rPr>
        <w:t>For NR Rel-17, paging indications to UE subgroups are carried only in PEI.</w:t>
      </w:r>
    </w:p>
    <w:p w14:paraId="70D6BCF1" w14:textId="3C11F984" w:rsidR="00942432" w:rsidRDefault="00287B78" w:rsidP="00504ED9">
      <w:pPr>
        <w:jc w:val="both"/>
        <w:rPr>
          <w:lang w:val="en-GB" w:eastAsia="zh-CN"/>
        </w:rPr>
      </w:pPr>
      <w:r>
        <w:rPr>
          <w:lang w:val="en-GB" w:eastAsia="zh-CN"/>
        </w:rPr>
        <w:lastRenderedPageBreak/>
        <w:t>T</w:t>
      </w:r>
      <w:r w:rsidR="006375B6">
        <w:rPr>
          <w:lang w:val="en-GB" w:eastAsia="zh-CN"/>
        </w:rPr>
        <w:t xml:space="preserve">he primary power saving gain does not come from subgrouping </w:t>
      </w:r>
      <w:r>
        <w:rPr>
          <w:lang w:val="en-GB" w:eastAsia="zh-CN"/>
        </w:rPr>
        <w:t xml:space="preserve">itself, </w:t>
      </w:r>
      <w:r w:rsidR="006375B6">
        <w:rPr>
          <w:lang w:val="en-GB" w:eastAsia="zh-CN"/>
        </w:rPr>
        <w:t xml:space="preserve">but from </w:t>
      </w:r>
      <w:r w:rsidR="009D2A04">
        <w:rPr>
          <w:lang w:val="en-GB" w:eastAsia="zh-CN"/>
        </w:rPr>
        <w:t xml:space="preserve">not having to be prepared to receive </w:t>
      </w:r>
      <w:r w:rsidR="00A33D97">
        <w:rPr>
          <w:lang w:val="en-GB" w:eastAsia="zh-CN"/>
        </w:rPr>
        <w:t>p</w:t>
      </w:r>
      <w:r w:rsidR="009D2A04">
        <w:rPr>
          <w:lang w:val="en-GB" w:eastAsia="zh-CN"/>
        </w:rPr>
        <w:t xml:space="preserve">aging PDSCH, </w:t>
      </w:r>
      <w:r w:rsidR="00942432">
        <w:rPr>
          <w:lang w:val="en-GB" w:eastAsia="zh-CN"/>
        </w:rPr>
        <w:t xml:space="preserve">especially </w:t>
      </w:r>
      <w:r w:rsidR="00EC35A3">
        <w:rPr>
          <w:lang w:val="en-GB" w:eastAsia="zh-CN"/>
        </w:rPr>
        <w:t>as</w:t>
      </w:r>
      <w:r w:rsidR="00942432">
        <w:rPr>
          <w:lang w:val="en-GB" w:eastAsia="zh-CN"/>
        </w:rPr>
        <w:t xml:space="preserve"> </w:t>
      </w:r>
      <w:r w:rsidR="009D2A04">
        <w:rPr>
          <w:lang w:val="en-GB" w:eastAsia="zh-CN"/>
        </w:rPr>
        <w:t xml:space="preserve">in most cases the UE is not paged. </w:t>
      </w:r>
      <w:r w:rsidR="009E2FDA">
        <w:rPr>
          <w:lang w:val="en-GB" w:eastAsia="zh-CN"/>
        </w:rPr>
        <w:t>RAN2 introduced DL scheduling slot offset capabilities in the Paging message, i.e.</w:t>
      </w:r>
      <w:r w:rsidR="00636AB5">
        <w:rPr>
          <w:lang w:val="en-GB" w:eastAsia="zh-CN"/>
        </w:rPr>
        <w:t>,</w:t>
      </w:r>
      <w:r w:rsidR="009E2FDA">
        <w:rPr>
          <w:lang w:val="en-GB" w:eastAsia="zh-CN"/>
        </w:rPr>
        <w:t xml:space="preserve"> the network knows when the UE supports Cross Slot Scheduling (CSS) for Paging. These capabilities in the Paging message enable the NW to use K0&gt;0 in </w:t>
      </w:r>
      <w:r w:rsidR="00760387">
        <w:rPr>
          <w:lang w:val="en-GB" w:eastAsia="zh-CN"/>
        </w:rPr>
        <w:t>p</w:t>
      </w:r>
      <w:r w:rsidR="009E2FDA">
        <w:rPr>
          <w:lang w:val="en-GB" w:eastAsia="zh-CN"/>
        </w:rPr>
        <w:t>aging PDCCH when only UEs support</w:t>
      </w:r>
      <w:r w:rsidR="0099313D">
        <w:rPr>
          <w:lang w:val="en-GB" w:eastAsia="zh-CN"/>
        </w:rPr>
        <w:t>ing</w:t>
      </w:r>
      <w:r w:rsidR="009E2FDA">
        <w:rPr>
          <w:lang w:val="en-GB" w:eastAsia="zh-CN"/>
        </w:rPr>
        <w:t xml:space="preserve"> K0&gt;0 are </w:t>
      </w:r>
      <w:r w:rsidR="0099313D">
        <w:rPr>
          <w:lang w:val="en-GB" w:eastAsia="zh-CN"/>
        </w:rPr>
        <w:t>assigned to</w:t>
      </w:r>
      <w:r w:rsidR="009E2FDA">
        <w:rPr>
          <w:lang w:val="en-GB" w:eastAsia="zh-CN"/>
        </w:rPr>
        <w:t xml:space="preserve"> </w:t>
      </w:r>
      <w:r w:rsidR="0099313D">
        <w:rPr>
          <w:lang w:val="en-GB" w:eastAsia="zh-CN"/>
        </w:rPr>
        <w:t xml:space="preserve">a </w:t>
      </w:r>
      <w:r w:rsidR="009E2FDA">
        <w:rPr>
          <w:lang w:val="en-GB" w:eastAsia="zh-CN"/>
        </w:rPr>
        <w:t>PO</w:t>
      </w:r>
      <w:r w:rsidR="0099313D">
        <w:rPr>
          <w:lang w:val="en-GB" w:eastAsia="zh-CN"/>
        </w:rPr>
        <w:t xml:space="preserve">. </w:t>
      </w:r>
      <w:r w:rsidR="00DD0BF5">
        <w:rPr>
          <w:lang w:val="en-GB" w:eastAsia="zh-CN"/>
        </w:rPr>
        <w:t>If the NW is not using PEI</w:t>
      </w:r>
      <w:r w:rsidR="00270154">
        <w:rPr>
          <w:lang w:val="en-GB" w:eastAsia="zh-CN"/>
        </w:rPr>
        <w:t>,</w:t>
      </w:r>
      <w:r w:rsidR="00D72E46">
        <w:rPr>
          <w:lang w:val="en-GB" w:eastAsia="zh-CN"/>
        </w:rPr>
        <w:t xml:space="preserve"> </w:t>
      </w:r>
      <w:r w:rsidR="00760387">
        <w:rPr>
          <w:lang w:val="en-GB" w:eastAsia="zh-CN"/>
        </w:rPr>
        <w:t xml:space="preserve">but using </w:t>
      </w:r>
      <w:r w:rsidR="00DD0BF5">
        <w:rPr>
          <w:lang w:val="en-GB" w:eastAsia="zh-CN"/>
        </w:rPr>
        <w:t xml:space="preserve"> </w:t>
      </w:r>
      <w:r w:rsidR="00636AB5">
        <w:rPr>
          <w:lang w:val="en-GB" w:eastAsia="zh-CN"/>
        </w:rPr>
        <w:t xml:space="preserve">such K0&gt;0 scheme, </w:t>
      </w:r>
      <w:r w:rsidR="00D72E46">
        <w:rPr>
          <w:lang w:val="en-GB" w:eastAsia="zh-CN"/>
        </w:rPr>
        <w:t>the</w:t>
      </w:r>
      <w:r w:rsidR="0099313D">
        <w:rPr>
          <w:lang w:val="en-GB" w:eastAsia="zh-CN"/>
        </w:rPr>
        <w:t>se</w:t>
      </w:r>
      <w:r w:rsidR="00D72E46">
        <w:rPr>
          <w:lang w:val="en-GB" w:eastAsia="zh-CN"/>
        </w:rPr>
        <w:t xml:space="preserve"> UEs can save </w:t>
      </w:r>
      <w:r w:rsidR="0099313D">
        <w:rPr>
          <w:lang w:val="en-GB" w:eastAsia="zh-CN"/>
        </w:rPr>
        <w:t xml:space="preserve">on </w:t>
      </w:r>
      <w:r w:rsidR="00D72E46">
        <w:rPr>
          <w:lang w:val="en-GB" w:eastAsia="zh-CN"/>
        </w:rPr>
        <w:t>PDSCH processing when not paged</w:t>
      </w:r>
      <w:r w:rsidR="009E2FDA">
        <w:rPr>
          <w:lang w:val="en-GB" w:eastAsia="zh-CN"/>
        </w:rPr>
        <w:t xml:space="preserve">. </w:t>
      </w:r>
      <w:r w:rsidR="00D72E46">
        <w:rPr>
          <w:lang w:val="en-GB" w:eastAsia="zh-CN"/>
        </w:rPr>
        <w:t xml:space="preserve">However, as both legacy UEs </w:t>
      </w:r>
      <w:r w:rsidR="00DD0BF5">
        <w:rPr>
          <w:lang w:val="en-GB" w:eastAsia="zh-CN"/>
        </w:rPr>
        <w:t>in</w:t>
      </w:r>
      <w:r w:rsidR="00D72E46">
        <w:rPr>
          <w:lang w:val="en-GB" w:eastAsia="zh-CN"/>
        </w:rPr>
        <w:t xml:space="preserve">capable of K0&gt;0 and new UEs </w:t>
      </w:r>
      <w:r w:rsidR="00F67C69">
        <w:rPr>
          <w:lang w:val="en-GB" w:eastAsia="zh-CN"/>
        </w:rPr>
        <w:t>(</w:t>
      </w:r>
      <w:r w:rsidR="00D72E46">
        <w:rPr>
          <w:lang w:val="en-GB" w:eastAsia="zh-CN"/>
        </w:rPr>
        <w:t>capable of K0&gt;0</w:t>
      </w:r>
      <w:r w:rsidR="00F67C69">
        <w:rPr>
          <w:lang w:val="en-GB" w:eastAsia="zh-CN"/>
        </w:rPr>
        <w:t>)</w:t>
      </w:r>
      <w:r w:rsidR="00D72E46">
        <w:rPr>
          <w:lang w:val="en-GB" w:eastAsia="zh-CN"/>
        </w:rPr>
        <w:t xml:space="preserve"> share the same set of POs, the </w:t>
      </w:r>
      <w:r w:rsidR="00636AB5">
        <w:rPr>
          <w:lang w:val="en-GB" w:eastAsia="zh-CN"/>
        </w:rPr>
        <w:t xml:space="preserve">K0&gt;0 </w:t>
      </w:r>
      <w:r w:rsidR="00D72E46">
        <w:rPr>
          <w:lang w:val="en-GB" w:eastAsia="zh-CN"/>
        </w:rPr>
        <w:t>feature</w:t>
      </w:r>
      <w:r w:rsidR="00636AB5">
        <w:rPr>
          <w:lang w:val="en-GB" w:eastAsia="zh-CN"/>
        </w:rPr>
        <w:t xml:space="preserve"> for paging</w:t>
      </w:r>
      <w:r w:rsidR="00D72E46">
        <w:rPr>
          <w:lang w:val="en-GB" w:eastAsia="zh-CN"/>
        </w:rPr>
        <w:t xml:space="preserve"> </w:t>
      </w:r>
      <w:r w:rsidR="00F67C69">
        <w:rPr>
          <w:lang w:val="en-GB" w:eastAsia="zh-CN"/>
        </w:rPr>
        <w:t>renders</w:t>
      </w:r>
      <w:r w:rsidR="00D72E46">
        <w:rPr>
          <w:lang w:val="en-GB" w:eastAsia="zh-CN"/>
        </w:rPr>
        <w:t xml:space="preserve"> rather useless</w:t>
      </w:r>
      <w:r w:rsidR="00F67C69">
        <w:rPr>
          <w:lang w:val="en-GB" w:eastAsia="zh-CN"/>
        </w:rPr>
        <w:t xml:space="preserve">. </w:t>
      </w:r>
    </w:p>
    <w:p w14:paraId="1CD5A91E" w14:textId="3CEBB30B" w:rsidR="00942432" w:rsidRPr="007110B8" w:rsidRDefault="00942432" w:rsidP="008D60FF">
      <w:pPr>
        <w:ind w:left="1418" w:hanging="1418"/>
        <w:jc w:val="both"/>
        <w:rPr>
          <w:b/>
          <w:bCs/>
          <w:lang w:val="en-GB" w:eastAsia="zh-CN"/>
        </w:rPr>
      </w:pPr>
      <w:r w:rsidRPr="267EE82B">
        <w:rPr>
          <w:b/>
          <w:bCs/>
          <w:lang w:val="en-GB" w:eastAsia="zh-CN"/>
        </w:rPr>
        <w:t xml:space="preserve">Observation </w:t>
      </w:r>
      <w:r w:rsidR="008E10EF" w:rsidRPr="267EE82B">
        <w:rPr>
          <w:b/>
          <w:bCs/>
          <w:lang w:val="en-GB" w:eastAsia="zh-CN"/>
        </w:rPr>
        <w:t>1</w:t>
      </w:r>
      <w:r w:rsidRPr="267EE82B">
        <w:rPr>
          <w:b/>
          <w:bCs/>
          <w:lang w:val="en-GB" w:eastAsia="zh-CN"/>
        </w:rPr>
        <w:t xml:space="preserve">: The use of Paging PDCCH when the UE supports K0 &gt; 0 renders useless when there is a mixture of legacy and new UEs assigned to the same PO. </w:t>
      </w:r>
    </w:p>
    <w:p w14:paraId="7288A56A" w14:textId="2A7DF205" w:rsidR="00411AA3" w:rsidRDefault="00BD1FAB" w:rsidP="00504ED9">
      <w:pPr>
        <w:jc w:val="both"/>
        <w:rPr>
          <w:lang w:val="en-GB" w:eastAsia="zh-CN"/>
        </w:rPr>
      </w:pPr>
      <w:r>
        <w:rPr>
          <w:lang w:val="en-GB" w:eastAsia="zh-CN"/>
        </w:rPr>
        <w:t>Th</w:t>
      </w:r>
      <w:r w:rsidR="00636AB5">
        <w:rPr>
          <w:lang w:val="en-GB" w:eastAsia="zh-CN"/>
        </w:rPr>
        <w:t>ere are other</w:t>
      </w:r>
      <w:r>
        <w:rPr>
          <w:lang w:val="en-GB" w:eastAsia="zh-CN"/>
        </w:rPr>
        <w:t xml:space="preserve"> issue</w:t>
      </w:r>
      <w:r w:rsidR="00636AB5">
        <w:rPr>
          <w:lang w:val="en-GB" w:eastAsia="zh-CN"/>
        </w:rPr>
        <w:t>s</w:t>
      </w:r>
      <w:r>
        <w:rPr>
          <w:lang w:val="en-GB" w:eastAsia="zh-CN"/>
        </w:rPr>
        <w:t xml:space="preserve"> </w:t>
      </w:r>
      <w:r w:rsidR="00636AB5">
        <w:rPr>
          <w:lang w:val="en-GB" w:eastAsia="zh-CN"/>
        </w:rPr>
        <w:t>related to legacy and new</w:t>
      </w:r>
      <w:r w:rsidR="00942432">
        <w:rPr>
          <w:lang w:val="en-GB" w:eastAsia="zh-CN"/>
        </w:rPr>
        <w:t xml:space="preserve"> (Rel-17)</w:t>
      </w:r>
      <w:r w:rsidR="00636AB5">
        <w:rPr>
          <w:lang w:val="en-GB" w:eastAsia="zh-CN"/>
        </w:rPr>
        <w:t xml:space="preserve"> UEs sharing the same POs</w:t>
      </w:r>
      <w:r>
        <w:rPr>
          <w:lang w:val="en-GB" w:eastAsia="zh-CN"/>
        </w:rPr>
        <w:t>. M</w:t>
      </w:r>
      <w:r w:rsidR="004D6C6F">
        <w:rPr>
          <w:lang w:val="en-GB" w:eastAsia="zh-CN"/>
        </w:rPr>
        <w:t>ixing of legacy UE</w:t>
      </w:r>
      <w:r>
        <w:rPr>
          <w:lang w:val="en-GB" w:eastAsia="zh-CN"/>
        </w:rPr>
        <w:t>s</w:t>
      </w:r>
      <w:r w:rsidR="004D6C6F">
        <w:rPr>
          <w:lang w:val="en-GB" w:eastAsia="zh-CN"/>
        </w:rPr>
        <w:t xml:space="preserve"> and new </w:t>
      </w:r>
      <w:r>
        <w:rPr>
          <w:lang w:val="en-GB" w:eastAsia="zh-CN"/>
        </w:rPr>
        <w:t xml:space="preserve">UEs </w:t>
      </w:r>
      <w:r w:rsidR="00942432">
        <w:rPr>
          <w:lang w:val="en-GB" w:eastAsia="zh-CN"/>
        </w:rPr>
        <w:t>of</w:t>
      </w:r>
      <w:r>
        <w:rPr>
          <w:lang w:val="en-GB" w:eastAsia="zh-CN"/>
        </w:rPr>
        <w:t xml:space="preserve"> different capabilities such as PEI capability also implies that the NW has to transmit PEI for every PO rather than only for </w:t>
      </w:r>
      <w:r w:rsidR="007110B8">
        <w:rPr>
          <w:lang w:val="en-GB" w:eastAsia="zh-CN"/>
        </w:rPr>
        <w:t xml:space="preserve">some </w:t>
      </w:r>
      <w:r>
        <w:rPr>
          <w:lang w:val="en-GB" w:eastAsia="zh-CN"/>
        </w:rPr>
        <w:t xml:space="preserve">POs. </w:t>
      </w:r>
      <w:r w:rsidR="00636AB5">
        <w:rPr>
          <w:lang w:val="en-GB" w:eastAsia="zh-CN"/>
        </w:rPr>
        <w:t xml:space="preserve">Note that this has a negative </w:t>
      </w:r>
      <w:r w:rsidR="000A0927">
        <w:rPr>
          <w:lang w:val="en-GB" w:eastAsia="zh-CN"/>
        </w:rPr>
        <w:t>impact on</w:t>
      </w:r>
      <w:r w:rsidR="00636AB5">
        <w:rPr>
          <w:lang w:val="en-GB" w:eastAsia="zh-CN"/>
        </w:rPr>
        <w:t xml:space="preserve"> legacy UEs as well as </w:t>
      </w:r>
      <w:r w:rsidR="00760387">
        <w:rPr>
          <w:lang w:val="en-GB" w:eastAsia="zh-CN"/>
        </w:rPr>
        <w:t>they will be</w:t>
      </w:r>
      <w:r w:rsidR="00636AB5">
        <w:rPr>
          <w:lang w:val="en-GB" w:eastAsia="zh-CN"/>
        </w:rPr>
        <w:t xml:space="preserve"> falsely paged more often when the paging is only intended for new UEs.</w:t>
      </w:r>
    </w:p>
    <w:p w14:paraId="0B260ED9" w14:textId="697C872C" w:rsidR="00411AA3" w:rsidRPr="007110B8" w:rsidRDefault="00411AA3" w:rsidP="008D60FF">
      <w:pPr>
        <w:ind w:left="1418" w:hanging="1418"/>
        <w:jc w:val="both"/>
        <w:rPr>
          <w:b/>
          <w:bCs/>
          <w:lang w:val="en-GB" w:eastAsia="zh-CN"/>
        </w:rPr>
      </w:pPr>
      <w:r w:rsidRPr="006B5F90">
        <w:rPr>
          <w:b/>
          <w:bCs/>
          <w:lang w:val="en-GB" w:eastAsia="zh-CN"/>
        </w:rPr>
        <w:t xml:space="preserve">Observation </w:t>
      </w:r>
      <w:r w:rsidR="00614426">
        <w:rPr>
          <w:b/>
          <w:bCs/>
          <w:lang w:val="en-GB" w:eastAsia="zh-CN"/>
        </w:rPr>
        <w:t>2</w:t>
      </w:r>
      <w:r w:rsidRPr="007110B8">
        <w:rPr>
          <w:b/>
          <w:bCs/>
          <w:lang w:val="en-GB" w:eastAsia="zh-CN"/>
        </w:rPr>
        <w:t>: Mixture of legacy and PEI capable UEs in the same POs implies that the NW has to transmit PEI for all POs.</w:t>
      </w:r>
    </w:p>
    <w:p w14:paraId="7FFBBC26" w14:textId="6A967650" w:rsidR="00411AA3" w:rsidRPr="007110B8" w:rsidRDefault="00411AA3" w:rsidP="008D60FF">
      <w:pPr>
        <w:ind w:left="1418" w:hanging="1418"/>
        <w:jc w:val="both"/>
        <w:rPr>
          <w:b/>
          <w:bCs/>
          <w:lang w:val="en-GB" w:eastAsia="zh-CN"/>
        </w:rPr>
      </w:pPr>
      <w:r w:rsidRPr="006B5F90">
        <w:rPr>
          <w:b/>
          <w:bCs/>
          <w:lang w:val="en-GB" w:eastAsia="zh-CN"/>
        </w:rPr>
        <w:t xml:space="preserve">Observation </w:t>
      </w:r>
      <w:r w:rsidR="00614426">
        <w:rPr>
          <w:b/>
          <w:bCs/>
          <w:lang w:val="en-GB" w:eastAsia="zh-CN"/>
        </w:rPr>
        <w:t>3</w:t>
      </w:r>
      <w:r w:rsidRPr="007110B8">
        <w:rPr>
          <w:b/>
          <w:bCs/>
          <w:lang w:val="en-GB" w:eastAsia="zh-CN"/>
        </w:rPr>
        <w:t>: Mixture of legacy and PEI capable UEs in the same POs raises the impact on legacy UEs as they will be more often falsely paged.</w:t>
      </w:r>
    </w:p>
    <w:p w14:paraId="71071DAD" w14:textId="62A9C8B9" w:rsidR="004D6C6F" w:rsidRDefault="0072243C" w:rsidP="00504ED9">
      <w:pPr>
        <w:jc w:val="both"/>
        <w:rPr>
          <w:lang w:val="en-GB" w:eastAsia="zh-CN"/>
        </w:rPr>
      </w:pPr>
      <w:r>
        <w:rPr>
          <w:lang w:val="en-GB" w:eastAsia="zh-CN"/>
        </w:rPr>
        <w:t xml:space="preserve">In our opinion, </w:t>
      </w:r>
      <w:r w:rsidR="00F00CFB">
        <w:rPr>
          <w:lang w:val="en-GB" w:eastAsia="zh-CN"/>
        </w:rPr>
        <w:t xml:space="preserve">to avoid the issues mentioned above, </w:t>
      </w:r>
      <w:r>
        <w:rPr>
          <w:lang w:val="en-GB" w:eastAsia="zh-CN"/>
        </w:rPr>
        <w:t xml:space="preserve">a separation of POs </w:t>
      </w:r>
      <w:r w:rsidR="00D72016">
        <w:rPr>
          <w:lang w:val="en-GB" w:eastAsia="zh-CN"/>
        </w:rPr>
        <w:t xml:space="preserve">for new and legacy UEs would be beneficial </w:t>
      </w:r>
      <w:r w:rsidR="009B4A96">
        <w:rPr>
          <w:lang w:val="en-GB" w:eastAsia="zh-CN"/>
        </w:rPr>
        <w:t xml:space="preserve">and </w:t>
      </w:r>
      <w:r>
        <w:rPr>
          <w:lang w:val="en-GB" w:eastAsia="zh-CN"/>
        </w:rPr>
        <w:t>easily achieved</w:t>
      </w:r>
      <w:r w:rsidR="009B4A96">
        <w:rPr>
          <w:lang w:val="en-GB" w:eastAsia="zh-CN"/>
        </w:rPr>
        <w:t>.</w:t>
      </w:r>
      <w:r w:rsidR="007C3A18">
        <w:rPr>
          <w:lang w:val="en-GB" w:eastAsia="zh-CN"/>
        </w:rPr>
        <w:t xml:space="preserve"> For example, in the existing legacy system information structure, only a subset of POs </w:t>
      </w:r>
      <w:r w:rsidR="00C40F35">
        <w:rPr>
          <w:lang w:val="en-GB" w:eastAsia="zh-CN"/>
        </w:rPr>
        <w:t>is</w:t>
      </w:r>
      <w:r w:rsidR="007C3A18">
        <w:rPr>
          <w:lang w:val="en-GB" w:eastAsia="zh-CN"/>
        </w:rPr>
        <w:t xml:space="preserve"> configured (e.g., ns=2 out of possible 4), whereas in a new optional Rel-17 structure, the remaining</w:t>
      </w:r>
      <w:r w:rsidR="00C40F35">
        <w:rPr>
          <w:lang w:val="en-GB" w:eastAsia="zh-CN"/>
        </w:rPr>
        <w:t>/another</w:t>
      </w:r>
      <w:r w:rsidR="007C3A18">
        <w:rPr>
          <w:lang w:val="en-GB" w:eastAsia="zh-CN"/>
        </w:rPr>
        <w:t xml:space="preserve"> set of POs are configured. As such, the legacy UEs will be spread among the legacy POs, whereas the new UEs </w:t>
      </w:r>
      <w:r w:rsidR="00C40F35">
        <w:rPr>
          <w:lang w:val="en-GB" w:eastAsia="zh-CN"/>
        </w:rPr>
        <w:t xml:space="preserve">are spread </w:t>
      </w:r>
      <w:r w:rsidR="007C3A18">
        <w:rPr>
          <w:lang w:val="en-GB" w:eastAsia="zh-CN"/>
        </w:rPr>
        <w:t>among the Rel-17 POs if optionally configured by the NW.</w:t>
      </w:r>
      <w:r w:rsidR="00BD1FAB">
        <w:rPr>
          <w:lang w:val="en-GB" w:eastAsia="zh-CN"/>
        </w:rPr>
        <w:t xml:space="preserve">  </w:t>
      </w:r>
    </w:p>
    <w:p w14:paraId="21713370" w14:textId="22526EDB" w:rsidR="009E2FDA" w:rsidRPr="007110B8" w:rsidRDefault="009E2FDA" w:rsidP="008D60FF">
      <w:pPr>
        <w:ind w:left="1134" w:hanging="1134"/>
        <w:jc w:val="both"/>
        <w:rPr>
          <w:rFonts w:cs="Arial"/>
          <w:b/>
          <w:bCs/>
          <w:color w:val="000000" w:themeColor="text1"/>
          <w:szCs w:val="20"/>
          <w:lang w:val="en-GB" w:eastAsia="zh-CN"/>
        </w:rPr>
      </w:pPr>
      <w:r w:rsidRPr="006B5F90">
        <w:rPr>
          <w:rFonts w:cs="Arial"/>
          <w:b/>
          <w:bCs/>
          <w:color w:val="000000" w:themeColor="text1"/>
          <w:szCs w:val="20"/>
          <w:lang w:val="en-GB" w:eastAsia="zh-CN"/>
        </w:rPr>
        <w:t xml:space="preserve">Proposal </w:t>
      </w:r>
      <w:r w:rsidR="004B3A62">
        <w:rPr>
          <w:rFonts w:cs="Arial"/>
          <w:b/>
          <w:bCs/>
          <w:color w:val="000000" w:themeColor="text1"/>
          <w:szCs w:val="20"/>
          <w:lang w:val="en-GB" w:eastAsia="zh-CN"/>
        </w:rPr>
        <w:t>4</w:t>
      </w:r>
      <w:r w:rsidRPr="007110B8">
        <w:rPr>
          <w:rFonts w:cs="Arial"/>
          <w:b/>
          <w:bCs/>
          <w:color w:val="000000" w:themeColor="text1"/>
          <w:szCs w:val="20"/>
          <w:lang w:val="en-GB" w:eastAsia="zh-CN"/>
        </w:rPr>
        <w:t xml:space="preserve">: Network can </w:t>
      </w:r>
      <w:r w:rsidR="003B679A" w:rsidRPr="007110B8">
        <w:rPr>
          <w:rFonts w:cs="Arial"/>
          <w:b/>
          <w:bCs/>
          <w:color w:val="000000" w:themeColor="text1"/>
          <w:szCs w:val="20"/>
          <w:lang w:val="en-GB" w:eastAsia="zh-CN"/>
        </w:rPr>
        <w:t xml:space="preserve">optionally </w:t>
      </w:r>
      <w:r w:rsidRPr="007110B8">
        <w:rPr>
          <w:rFonts w:cs="Arial"/>
          <w:b/>
          <w:bCs/>
          <w:color w:val="000000" w:themeColor="text1"/>
          <w:szCs w:val="20"/>
          <w:lang w:val="en-GB" w:eastAsia="zh-CN"/>
        </w:rPr>
        <w:t>configure a</w:t>
      </w:r>
      <w:r w:rsidR="003B679A" w:rsidRPr="007110B8">
        <w:rPr>
          <w:rFonts w:cs="Arial"/>
          <w:b/>
          <w:bCs/>
          <w:color w:val="000000" w:themeColor="text1"/>
          <w:szCs w:val="20"/>
          <w:lang w:val="en-GB" w:eastAsia="zh-CN"/>
        </w:rPr>
        <w:t xml:space="preserve"> separate set of</w:t>
      </w:r>
      <w:r w:rsidRPr="007110B8">
        <w:rPr>
          <w:rFonts w:cs="Arial"/>
          <w:b/>
          <w:bCs/>
          <w:color w:val="000000" w:themeColor="text1"/>
          <w:szCs w:val="20"/>
          <w:lang w:val="en-GB" w:eastAsia="zh-CN"/>
        </w:rPr>
        <w:t xml:space="preserve"> PO(s) dedicated to </w:t>
      </w:r>
      <w:r w:rsidR="003B679A" w:rsidRPr="007110B8">
        <w:rPr>
          <w:rFonts w:cs="Arial"/>
          <w:b/>
          <w:bCs/>
          <w:color w:val="000000" w:themeColor="text1"/>
          <w:szCs w:val="20"/>
          <w:lang w:val="en-GB" w:eastAsia="zh-CN"/>
        </w:rPr>
        <w:t xml:space="preserve">Rel-17 UEs </w:t>
      </w:r>
      <w:r w:rsidR="006A720F" w:rsidRPr="007110B8">
        <w:rPr>
          <w:rFonts w:cs="Arial"/>
          <w:b/>
          <w:bCs/>
          <w:color w:val="000000" w:themeColor="text1"/>
          <w:szCs w:val="20"/>
          <w:lang w:val="en-GB" w:eastAsia="zh-CN"/>
        </w:rPr>
        <w:t>with new paging capabilities.</w:t>
      </w:r>
    </w:p>
    <w:p w14:paraId="0ECF2269" w14:textId="6FE7ADA9" w:rsidR="009E2FDA" w:rsidRDefault="009E2FDA" w:rsidP="007110B8">
      <w:pPr>
        <w:jc w:val="both"/>
        <w:rPr>
          <w:rFonts w:cs="Arial"/>
          <w:color w:val="000000" w:themeColor="text1"/>
          <w:szCs w:val="20"/>
          <w:lang w:val="en-GB" w:eastAsia="zh-CN"/>
        </w:rPr>
      </w:pPr>
      <w:r>
        <w:rPr>
          <w:rFonts w:cs="Arial"/>
          <w:color w:val="000000" w:themeColor="text1"/>
          <w:szCs w:val="20"/>
          <w:lang w:val="en-GB" w:eastAsia="zh-CN"/>
        </w:rPr>
        <w:t>There are different ways to configure additional</w:t>
      </w:r>
      <w:r w:rsidR="00C379E5">
        <w:rPr>
          <w:rFonts w:cs="Arial"/>
          <w:color w:val="000000" w:themeColor="text1"/>
          <w:szCs w:val="20"/>
          <w:lang w:val="en-GB" w:eastAsia="zh-CN"/>
        </w:rPr>
        <w:t>/separate</w:t>
      </w:r>
      <w:r>
        <w:rPr>
          <w:rFonts w:cs="Arial"/>
          <w:color w:val="000000" w:themeColor="text1"/>
          <w:szCs w:val="20"/>
          <w:lang w:val="en-GB" w:eastAsia="zh-CN"/>
        </w:rPr>
        <w:t xml:space="preserve"> paging capacity</w:t>
      </w:r>
      <w:r w:rsidR="00C379E5">
        <w:rPr>
          <w:rFonts w:cs="Arial"/>
          <w:color w:val="000000" w:themeColor="text1"/>
          <w:szCs w:val="20"/>
          <w:lang w:val="en-GB" w:eastAsia="zh-CN"/>
        </w:rPr>
        <w:t xml:space="preserve"> (i.e.</w:t>
      </w:r>
      <w:r w:rsidR="000516AF">
        <w:rPr>
          <w:rFonts w:cs="Arial"/>
          <w:color w:val="000000" w:themeColor="text1"/>
          <w:szCs w:val="20"/>
          <w:lang w:val="en-GB" w:eastAsia="zh-CN"/>
        </w:rPr>
        <w:t>,</w:t>
      </w:r>
      <w:r w:rsidR="00C379E5">
        <w:rPr>
          <w:rFonts w:cs="Arial"/>
          <w:color w:val="000000" w:themeColor="text1"/>
          <w:szCs w:val="20"/>
          <w:lang w:val="en-GB" w:eastAsia="zh-CN"/>
        </w:rPr>
        <w:t xml:space="preserve"> POs) for new UEs</w:t>
      </w:r>
      <w:r>
        <w:rPr>
          <w:rFonts w:cs="Arial"/>
          <w:color w:val="000000" w:themeColor="text1"/>
          <w:szCs w:val="20"/>
          <w:lang w:val="en-GB" w:eastAsia="zh-CN"/>
        </w:rPr>
        <w:t>. But to minimize the impact it is preferred to re-use the paging framework and paging formula. For example</w:t>
      </w:r>
      <w:r w:rsidR="000516AF">
        <w:rPr>
          <w:rFonts w:cs="Arial"/>
          <w:color w:val="000000" w:themeColor="text1"/>
          <w:szCs w:val="20"/>
          <w:lang w:val="en-GB" w:eastAsia="zh-CN"/>
        </w:rPr>
        <w:t>,</w:t>
      </w:r>
      <w:r>
        <w:rPr>
          <w:rFonts w:cs="Arial"/>
          <w:color w:val="000000" w:themeColor="text1"/>
          <w:szCs w:val="20"/>
          <w:lang w:val="en-GB" w:eastAsia="zh-CN"/>
        </w:rPr>
        <w:t xml:space="preserve"> a simple solution is to configure additional slots via a second</w:t>
      </w:r>
      <w:r w:rsidR="00C379E5">
        <w:rPr>
          <w:rFonts w:cs="Arial"/>
          <w:color w:val="000000" w:themeColor="text1"/>
          <w:szCs w:val="20"/>
          <w:lang w:val="en-GB" w:eastAsia="zh-CN"/>
        </w:rPr>
        <w:t xml:space="preserve"> </w:t>
      </w:r>
      <w:r w:rsidR="00C379E5" w:rsidRPr="007110B8">
        <w:rPr>
          <w:rFonts w:cs="Arial"/>
          <w:i/>
          <w:iCs/>
          <w:color w:val="000000" w:themeColor="text1"/>
          <w:szCs w:val="20"/>
          <w:lang w:val="en-GB" w:eastAsia="zh-CN"/>
        </w:rPr>
        <w:t>ns</w:t>
      </w:r>
      <w:r w:rsidR="00C379E5">
        <w:rPr>
          <w:rFonts w:cs="Arial"/>
          <w:color w:val="000000" w:themeColor="text1"/>
          <w:szCs w:val="20"/>
          <w:lang w:val="en-GB" w:eastAsia="zh-CN"/>
        </w:rPr>
        <w:t xml:space="preserve">, </w:t>
      </w:r>
      <w:r>
        <w:rPr>
          <w:rFonts w:cs="Arial"/>
          <w:color w:val="000000" w:themeColor="text1"/>
          <w:szCs w:val="20"/>
          <w:lang w:val="en-GB" w:eastAsia="zh-CN"/>
        </w:rPr>
        <w:t xml:space="preserve"> </w:t>
      </w:r>
      <w:r w:rsidRPr="0060244E">
        <w:rPr>
          <w:i/>
          <w:iCs/>
        </w:rPr>
        <w:t>nAndPagingFrameOffset</w:t>
      </w:r>
      <w:r>
        <w:rPr>
          <w:rFonts w:cs="Arial"/>
          <w:color w:val="000000" w:themeColor="text1"/>
          <w:szCs w:val="20"/>
          <w:lang w:val="en-GB" w:eastAsia="zh-CN"/>
        </w:rPr>
        <w:t xml:space="preserve"> and </w:t>
      </w:r>
      <w:r w:rsidRPr="0060244E">
        <w:rPr>
          <w:i/>
          <w:iCs/>
        </w:rPr>
        <w:t>firstPDCCH-MonitoringOccasionOfPO</w:t>
      </w:r>
      <w:r>
        <w:rPr>
          <w:rFonts w:cs="Arial"/>
          <w:color w:val="000000" w:themeColor="text1"/>
          <w:szCs w:val="20"/>
          <w:lang w:val="en-GB" w:eastAsia="zh-CN"/>
        </w:rPr>
        <w:t xml:space="preserve"> for </w:t>
      </w:r>
      <w:r w:rsidR="00C379E5">
        <w:rPr>
          <w:rFonts w:cs="Arial"/>
          <w:color w:val="000000" w:themeColor="text1"/>
          <w:szCs w:val="20"/>
          <w:lang w:val="en-GB" w:eastAsia="zh-CN"/>
        </w:rPr>
        <w:t xml:space="preserve">Rel-17 </w:t>
      </w:r>
      <w:r>
        <w:rPr>
          <w:rFonts w:cs="Arial"/>
          <w:color w:val="000000" w:themeColor="text1"/>
          <w:szCs w:val="20"/>
          <w:lang w:val="en-GB" w:eastAsia="zh-CN"/>
        </w:rPr>
        <w:t xml:space="preserve">UEs </w:t>
      </w:r>
      <w:r w:rsidR="00C379E5">
        <w:rPr>
          <w:rFonts w:cs="Arial"/>
          <w:color w:val="000000" w:themeColor="text1"/>
          <w:szCs w:val="20"/>
          <w:lang w:val="en-GB" w:eastAsia="zh-CN"/>
        </w:rPr>
        <w:t>that are capable of PEI and K&gt;0</w:t>
      </w:r>
      <w:r>
        <w:rPr>
          <w:rFonts w:cs="Arial"/>
          <w:color w:val="000000" w:themeColor="text1"/>
          <w:szCs w:val="20"/>
          <w:lang w:val="en-GB" w:eastAsia="zh-CN"/>
        </w:rPr>
        <w:t>:</w:t>
      </w:r>
    </w:p>
    <w:p w14:paraId="13F6AEE3" w14:textId="25FE9C5C" w:rsidR="00DF52A7" w:rsidRPr="009E2FDA" w:rsidRDefault="009E2FDA" w:rsidP="008D60FF">
      <w:pPr>
        <w:ind w:left="1134" w:hanging="1134"/>
        <w:jc w:val="both"/>
        <w:rPr>
          <w:highlight w:val="yellow"/>
          <w:lang w:val="en-GB" w:eastAsia="zh-CN"/>
        </w:rPr>
      </w:pPr>
      <w:r w:rsidRPr="006B5F90">
        <w:rPr>
          <w:rFonts w:cs="Arial"/>
          <w:b/>
          <w:bCs/>
          <w:color w:val="000000" w:themeColor="text1"/>
          <w:szCs w:val="20"/>
          <w:lang w:val="en-GB" w:eastAsia="zh-CN"/>
        </w:rPr>
        <w:t xml:space="preserve">Proposal </w:t>
      </w:r>
      <w:r w:rsidR="004B3A62">
        <w:rPr>
          <w:rFonts w:cs="Arial"/>
          <w:b/>
          <w:bCs/>
          <w:color w:val="000000" w:themeColor="text1"/>
          <w:szCs w:val="20"/>
          <w:lang w:val="en-GB" w:eastAsia="zh-CN"/>
        </w:rPr>
        <w:t>5</w:t>
      </w:r>
      <w:r w:rsidRPr="007110B8">
        <w:rPr>
          <w:rFonts w:cs="Arial"/>
          <w:b/>
          <w:bCs/>
          <w:color w:val="000000" w:themeColor="text1"/>
          <w:szCs w:val="20"/>
          <w:lang w:val="en-GB" w:eastAsia="zh-CN"/>
        </w:rPr>
        <w:t xml:space="preserve">: Network can configure dedicated POs for UEs supporting </w:t>
      </w:r>
      <w:r w:rsidR="00C379E5" w:rsidRPr="007110B8">
        <w:rPr>
          <w:rFonts w:cs="Arial"/>
          <w:b/>
          <w:bCs/>
          <w:color w:val="000000" w:themeColor="text1"/>
          <w:szCs w:val="20"/>
          <w:lang w:val="en-GB" w:eastAsia="zh-CN"/>
        </w:rPr>
        <w:t xml:space="preserve">PEI and </w:t>
      </w:r>
      <w:r w:rsidRPr="007110B8">
        <w:rPr>
          <w:rFonts w:cs="Arial"/>
          <w:b/>
          <w:bCs/>
          <w:color w:val="000000" w:themeColor="text1"/>
          <w:szCs w:val="20"/>
          <w:lang w:val="en-GB" w:eastAsia="zh-CN"/>
        </w:rPr>
        <w:t xml:space="preserve">K0&gt;0 via a second </w:t>
      </w:r>
      <w:r w:rsidR="00CD3F25">
        <w:rPr>
          <w:rFonts w:cs="Arial"/>
          <w:b/>
          <w:bCs/>
          <w:color w:val="000000" w:themeColor="text1"/>
          <w:szCs w:val="20"/>
          <w:lang w:val="en-GB" w:eastAsia="zh-CN"/>
        </w:rPr>
        <w:t xml:space="preserve">set of </w:t>
      </w:r>
      <w:r w:rsidR="00C379E5" w:rsidRPr="007110B8">
        <w:rPr>
          <w:rFonts w:cs="Arial"/>
          <w:b/>
          <w:bCs/>
          <w:i/>
          <w:iCs/>
          <w:color w:val="000000" w:themeColor="text1"/>
          <w:szCs w:val="20"/>
          <w:lang w:val="en-GB" w:eastAsia="zh-CN"/>
        </w:rPr>
        <w:t>ns</w:t>
      </w:r>
      <w:r w:rsidR="00C379E5" w:rsidRPr="007110B8">
        <w:rPr>
          <w:rFonts w:cs="Arial"/>
          <w:b/>
          <w:bCs/>
          <w:color w:val="000000" w:themeColor="text1"/>
          <w:szCs w:val="20"/>
          <w:lang w:val="en-GB" w:eastAsia="zh-CN"/>
        </w:rPr>
        <w:t xml:space="preserve">, and/or </w:t>
      </w:r>
      <w:r w:rsidRPr="007110B8">
        <w:rPr>
          <w:b/>
          <w:bCs/>
          <w:i/>
          <w:iCs/>
        </w:rPr>
        <w:t>nAndPagingFrameOffset</w:t>
      </w:r>
      <w:r w:rsidRPr="007110B8">
        <w:rPr>
          <w:rFonts w:cs="Arial"/>
          <w:b/>
          <w:bCs/>
          <w:color w:val="000000" w:themeColor="text1"/>
          <w:szCs w:val="20"/>
          <w:lang w:val="en-GB" w:eastAsia="zh-CN"/>
        </w:rPr>
        <w:t xml:space="preserve"> and/or </w:t>
      </w:r>
      <w:r w:rsidRPr="007110B8">
        <w:rPr>
          <w:b/>
          <w:bCs/>
          <w:i/>
          <w:iCs/>
        </w:rPr>
        <w:t>firstPDCCH-MonitoringOccasionOfPO</w:t>
      </w:r>
      <w:r w:rsidRPr="007110B8">
        <w:rPr>
          <w:rFonts w:cs="Arial"/>
          <w:b/>
          <w:bCs/>
          <w:color w:val="000000" w:themeColor="text1"/>
          <w:szCs w:val="20"/>
          <w:lang w:val="en-GB" w:eastAsia="zh-CN"/>
        </w:rPr>
        <w:t xml:space="preserve"> parameter</w:t>
      </w:r>
      <w:r w:rsidR="00CD3F25">
        <w:rPr>
          <w:rFonts w:cs="Arial"/>
          <w:b/>
          <w:bCs/>
          <w:color w:val="000000" w:themeColor="text1"/>
          <w:szCs w:val="20"/>
          <w:lang w:val="en-GB" w:eastAsia="zh-CN"/>
        </w:rPr>
        <w:t>s</w:t>
      </w:r>
      <w:r w:rsidRPr="007110B8">
        <w:rPr>
          <w:rFonts w:cs="Arial"/>
          <w:b/>
          <w:bCs/>
          <w:color w:val="000000" w:themeColor="text1"/>
          <w:szCs w:val="20"/>
          <w:lang w:val="en-GB" w:eastAsia="zh-CN"/>
        </w:rPr>
        <w:t>.</w:t>
      </w:r>
    </w:p>
    <w:p w14:paraId="4C04D968" w14:textId="7B65E25B" w:rsidR="009B49DC" w:rsidRPr="007110B8" w:rsidRDefault="009B49DC" w:rsidP="009B49DC">
      <w:pPr>
        <w:pStyle w:val="Heading2"/>
      </w:pPr>
      <w:r w:rsidRPr="007110B8">
        <w:t>UE capability signalling</w:t>
      </w:r>
    </w:p>
    <w:p w14:paraId="0EA9A690" w14:textId="1304FF0B" w:rsidR="002A36A8" w:rsidRDefault="00B828E0" w:rsidP="002A36A8">
      <w:pPr>
        <w:rPr>
          <w:lang w:val="en-GB" w:eastAsia="zh-CN"/>
        </w:rPr>
      </w:pPr>
      <w:r>
        <w:rPr>
          <w:lang w:val="en-GB" w:eastAsia="zh-CN"/>
        </w:rPr>
        <w:t xml:space="preserve">Concerning UE capabilities </w:t>
      </w:r>
      <w:r w:rsidR="002A36A8">
        <w:rPr>
          <w:lang w:val="en-GB" w:eastAsia="zh-CN"/>
        </w:rPr>
        <w:t>RAN2 agreed</w:t>
      </w:r>
      <w:r w:rsidR="00A13190">
        <w:rPr>
          <w:lang w:val="en-GB" w:eastAsia="zh-CN"/>
        </w:rPr>
        <w:t xml:space="preserve"> in previous meeting</w:t>
      </w:r>
      <w:r w:rsidR="002A36A8">
        <w:rPr>
          <w:lang w:val="en-GB" w:eastAsia="zh-CN"/>
        </w:rPr>
        <w:t>:</w:t>
      </w:r>
    </w:p>
    <w:p w14:paraId="008772F1" w14:textId="77777777" w:rsidR="00A13190" w:rsidRPr="00A13190" w:rsidRDefault="00A13190" w:rsidP="00A13190">
      <w:pPr>
        <w:pStyle w:val="Agreement"/>
        <w:numPr>
          <w:ilvl w:val="0"/>
          <w:numId w:val="16"/>
        </w:numPr>
        <w:rPr>
          <w:sz w:val="18"/>
          <w:szCs w:val="18"/>
          <w:lang w:val="en-US"/>
        </w:rPr>
      </w:pPr>
      <w:r w:rsidRPr="00A13190">
        <w:rPr>
          <w:sz w:val="18"/>
          <w:szCs w:val="18"/>
        </w:rPr>
        <w:t>[058] Separate indications for UE capability of CN based subgrouping and UEID based subgrouping (confirms earlier assumption)</w:t>
      </w:r>
    </w:p>
    <w:p w14:paraId="3AC8425F" w14:textId="77777777" w:rsidR="00A13190" w:rsidRPr="00A13190" w:rsidRDefault="00A13190" w:rsidP="00A13190">
      <w:pPr>
        <w:pStyle w:val="Agreement"/>
        <w:numPr>
          <w:ilvl w:val="0"/>
          <w:numId w:val="16"/>
        </w:numPr>
        <w:rPr>
          <w:rFonts w:cs="Arial"/>
          <w:sz w:val="18"/>
          <w:szCs w:val="18"/>
        </w:rPr>
      </w:pPr>
      <w:r w:rsidRPr="00A13190">
        <w:rPr>
          <w:sz w:val="18"/>
          <w:szCs w:val="18"/>
        </w:rPr>
        <w:t xml:space="preserve">RAN2 assumes that PEI can be used “without” subgrouping. FFS whether the bits in the PEI for subgrouping then need to have any particular meaning, or whether this would be done by just having one subgroup. </w:t>
      </w:r>
    </w:p>
    <w:p w14:paraId="50CE4A9F" w14:textId="77777777" w:rsidR="00A13190" w:rsidRPr="00B828E0" w:rsidRDefault="00A13190" w:rsidP="00A13190">
      <w:pPr>
        <w:ind w:left="714"/>
        <w:rPr>
          <w:rFonts w:ascii="Times New Roman" w:hAnsi="Times New Roman"/>
          <w:color w:val="C45911" w:themeColor="accent2" w:themeShade="BF"/>
          <w:sz w:val="16"/>
          <w:szCs w:val="16"/>
          <w:lang w:val="en-GB" w:eastAsia="zh-CN"/>
        </w:rPr>
      </w:pPr>
    </w:p>
    <w:p w14:paraId="156BDECB" w14:textId="7B0A16AC" w:rsidR="008D60FF" w:rsidRDefault="008D60FF" w:rsidP="008D60FF">
      <w:pPr>
        <w:spacing w:after="120"/>
        <w:jc w:val="both"/>
        <w:rPr>
          <w:lang w:val="en-GB" w:eastAsia="zh-CN"/>
        </w:rPr>
      </w:pPr>
      <w:r>
        <w:rPr>
          <w:lang w:val="en-GB" w:eastAsia="zh-CN"/>
        </w:rPr>
        <w:t>When it comes to</w:t>
      </w:r>
      <w:r w:rsidR="0026254D">
        <w:rPr>
          <w:lang w:val="en-GB" w:eastAsia="zh-CN"/>
        </w:rPr>
        <w:t xml:space="preserve"> capabilities for PEI and </w:t>
      </w:r>
      <w:r>
        <w:rPr>
          <w:lang w:val="en-GB" w:eastAsia="zh-CN"/>
        </w:rPr>
        <w:t xml:space="preserve">subgrouping, </w:t>
      </w:r>
      <w:r>
        <w:rPr>
          <w:rFonts w:cs="Arial"/>
          <w:szCs w:val="20"/>
          <w:lang w:val="en-GB"/>
        </w:rPr>
        <w:t xml:space="preserve">we think it is quite unfortunate that we have introduced capability for subgrouping, even less so since we have ended up with two separate capabilities for subgrouping (CN-based and UE-ID based). </w:t>
      </w:r>
      <w:r>
        <w:rPr>
          <w:lang w:val="en-GB" w:eastAsia="zh-CN"/>
        </w:rPr>
        <w:t xml:space="preserve">When the UE and gNB make the effort to support PEI, it would have made sense to further enhance the power saving with subgrouping. </w:t>
      </w:r>
      <w:r>
        <w:rPr>
          <w:rFonts w:cs="Arial"/>
          <w:szCs w:val="20"/>
          <w:lang w:val="en-GB"/>
        </w:rPr>
        <w:t>This has resulted in quite many scenario combinations that need to be captured in the specifications; combinations of what the UE supports, and what the NW has configured.</w:t>
      </w:r>
    </w:p>
    <w:p w14:paraId="26AF41EF" w14:textId="02BAB2FD" w:rsidR="008D60FF" w:rsidRPr="007110B8" w:rsidRDefault="008D60FF" w:rsidP="00BE63B8">
      <w:pPr>
        <w:ind w:left="1470" w:hanging="1470"/>
        <w:rPr>
          <w:b/>
          <w:bCs/>
          <w:lang w:val="en-GB" w:eastAsia="zh-CN"/>
        </w:rPr>
      </w:pPr>
      <w:r w:rsidRPr="006B5F90">
        <w:rPr>
          <w:b/>
          <w:bCs/>
          <w:lang w:val="en-GB" w:eastAsia="zh-CN"/>
        </w:rPr>
        <w:lastRenderedPageBreak/>
        <w:t xml:space="preserve">Observation </w:t>
      </w:r>
      <w:r>
        <w:rPr>
          <w:b/>
          <w:bCs/>
          <w:lang w:val="en-GB" w:eastAsia="zh-CN"/>
        </w:rPr>
        <w:t>4</w:t>
      </w:r>
      <w:r w:rsidRPr="007110B8">
        <w:rPr>
          <w:b/>
          <w:bCs/>
          <w:lang w:val="en-GB" w:eastAsia="zh-CN"/>
        </w:rPr>
        <w:t xml:space="preserve">: The </w:t>
      </w:r>
      <w:r>
        <w:rPr>
          <w:b/>
          <w:bCs/>
          <w:lang w:val="en-GB" w:eastAsia="zh-CN"/>
        </w:rPr>
        <w:t xml:space="preserve">introduction of subgrouping capabilities has led to multiple </w:t>
      </w:r>
      <w:r w:rsidRPr="008D60FF">
        <w:rPr>
          <w:b/>
          <w:bCs/>
          <w:lang w:val="en-GB" w:eastAsia="zh-CN"/>
        </w:rPr>
        <w:t xml:space="preserve">scenario combinations that need to be </w:t>
      </w:r>
      <w:r>
        <w:rPr>
          <w:b/>
          <w:bCs/>
          <w:lang w:val="en-GB" w:eastAsia="zh-CN"/>
        </w:rPr>
        <w:t>handled by the specification</w:t>
      </w:r>
      <w:r w:rsidRPr="008D60FF">
        <w:rPr>
          <w:b/>
          <w:bCs/>
          <w:lang w:val="en-GB" w:eastAsia="zh-CN"/>
        </w:rPr>
        <w:t xml:space="preserve">; combinations of what the UE supports, and what the NW has </w:t>
      </w:r>
      <w:r>
        <w:rPr>
          <w:b/>
          <w:bCs/>
          <w:lang w:val="en-GB" w:eastAsia="zh-CN"/>
        </w:rPr>
        <w:t>configured.</w:t>
      </w:r>
    </w:p>
    <w:p w14:paraId="11976C1E" w14:textId="06C319D2" w:rsidR="008D60FF" w:rsidRPr="00F0605A" w:rsidRDefault="009641ED" w:rsidP="008D60FF">
      <w:pPr>
        <w:jc w:val="both"/>
        <w:rPr>
          <w:lang w:val="en-GB" w:eastAsia="zh-CN"/>
        </w:rPr>
      </w:pPr>
      <w:r>
        <w:rPr>
          <w:lang w:val="en-GB" w:eastAsia="zh-CN"/>
        </w:rPr>
        <w:t>We therefore would like RAN2 to reconsider the implications caused by the capabilities introduced for this feature.</w:t>
      </w:r>
    </w:p>
    <w:p w14:paraId="35765A2B" w14:textId="33460D42" w:rsidR="00E47C7B" w:rsidRDefault="00F0605A" w:rsidP="00BE63B8">
      <w:pPr>
        <w:ind w:left="1204" w:hanging="1204"/>
        <w:jc w:val="both"/>
        <w:rPr>
          <w:b/>
          <w:bCs/>
          <w:iCs/>
        </w:rPr>
      </w:pPr>
      <w:r w:rsidRPr="006B5F90">
        <w:rPr>
          <w:b/>
          <w:bCs/>
          <w:iCs/>
        </w:rPr>
        <w:t xml:space="preserve">Proposal </w:t>
      </w:r>
      <w:r w:rsidR="004B3A62">
        <w:rPr>
          <w:b/>
          <w:bCs/>
          <w:iCs/>
        </w:rPr>
        <w:t>6</w:t>
      </w:r>
      <w:r w:rsidRPr="007110B8">
        <w:rPr>
          <w:b/>
          <w:bCs/>
          <w:iCs/>
        </w:rPr>
        <w:t xml:space="preserve">: </w:t>
      </w:r>
      <w:r w:rsidR="009641ED">
        <w:rPr>
          <w:b/>
          <w:bCs/>
          <w:iCs/>
        </w:rPr>
        <w:t>RAN2 reconsiders the capability introduction for subgrouping. UE that supports PEI should also support both subgrouping methods (CN-based and UE-ID based).</w:t>
      </w:r>
      <w:r w:rsidR="00700CBE" w:rsidRPr="007110B8">
        <w:rPr>
          <w:b/>
          <w:bCs/>
          <w:iCs/>
        </w:rPr>
        <w:t xml:space="preserve"> </w:t>
      </w:r>
    </w:p>
    <w:p w14:paraId="6A1DBFC6" w14:textId="182D680C" w:rsidR="00F13B62" w:rsidRDefault="00F13B62" w:rsidP="00AB7CEE">
      <w:pPr>
        <w:jc w:val="both"/>
        <w:rPr>
          <w:rFonts w:cs="Arial"/>
          <w:szCs w:val="20"/>
          <w:lang w:val="en-GB"/>
        </w:rPr>
      </w:pPr>
      <w:r w:rsidRPr="00F13B62">
        <w:rPr>
          <w:iCs/>
        </w:rPr>
        <w:t xml:space="preserve">In case </w:t>
      </w:r>
      <w:r>
        <w:rPr>
          <w:iCs/>
        </w:rPr>
        <w:t>RAN2 wants to maintain the position with subgrouping capabilities, we think that for all scenarios</w:t>
      </w:r>
      <w:r w:rsidR="00AB7CEE">
        <w:rPr>
          <w:iCs/>
        </w:rPr>
        <w:t>,</w:t>
      </w:r>
      <w:r>
        <w:rPr>
          <w:iCs/>
        </w:rPr>
        <w:t xml:space="preserve"> in which the UE ends up without a subgroup due to </w:t>
      </w:r>
      <w:r w:rsidR="00AB7CEE">
        <w:rPr>
          <w:iCs/>
        </w:rPr>
        <w:t xml:space="preserve">not supporting the subgrouping method that the NW has configured, </w:t>
      </w:r>
      <w:r>
        <w:rPr>
          <w:rFonts w:cs="Arial"/>
          <w:szCs w:val="20"/>
          <w:lang w:val="en-GB"/>
        </w:rPr>
        <w:t>there could be two solutions (of which one should be chosen):</w:t>
      </w:r>
    </w:p>
    <w:p w14:paraId="5B6BB117" w14:textId="77777777" w:rsidR="00AB7CEE" w:rsidRPr="00AB7CEE" w:rsidRDefault="00F13B62" w:rsidP="00D71208">
      <w:pPr>
        <w:pStyle w:val="ListParagraph"/>
        <w:numPr>
          <w:ilvl w:val="0"/>
          <w:numId w:val="18"/>
        </w:numPr>
        <w:overflowPunct w:val="0"/>
        <w:autoSpaceDE w:val="0"/>
        <w:autoSpaceDN w:val="0"/>
        <w:adjustRightInd w:val="0"/>
        <w:spacing w:after="120"/>
        <w:jc w:val="both"/>
        <w:textAlignment w:val="baseline"/>
        <w:rPr>
          <w:iCs/>
        </w:rPr>
      </w:pPr>
      <w:r w:rsidRPr="00AB7CEE">
        <w:rPr>
          <w:rFonts w:cs="Arial"/>
        </w:rPr>
        <w:t>The UE wakes up at the PO in case of PEI reception (CRC match), irrespective of the PEI contents.</w:t>
      </w:r>
    </w:p>
    <w:p w14:paraId="0758B5CC" w14:textId="74B0EE43" w:rsidR="00AB7CEE" w:rsidRPr="006469B8" w:rsidRDefault="00F13B62" w:rsidP="006469B8">
      <w:pPr>
        <w:pStyle w:val="ListParagraph"/>
        <w:numPr>
          <w:ilvl w:val="0"/>
          <w:numId w:val="18"/>
        </w:numPr>
        <w:overflowPunct w:val="0"/>
        <w:autoSpaceDE w:val="0"/>
        <w:autoSpaceDN w:val="0"/>
        <w:adjustRightInd w:val="0"/>
        <w:spacing w:after="120"/>
        <w:jc w:val="both"/>
        <w:textAlignment w:val="baseline"/>
        <w:rPr>
          <w:iCs/>
        </w:rPr>
      </w:pPr>
      <w:r w:rsidRPr="00AB7CEE">
        <w:rPr>
          <w:rFonts w:cs="Arial"/>
        </w:rPr>
        <w:t>The UE always wakes up at the PO.</w:t>
      </w:r>
    </w:p>
    <w:p w14:paraId="4303430E" w14:textId="42B16E09" w:rsidR="00AB7CEE" w:rsidRDefault="00AB7CEE" w:rsidP="00AB7CEE">
      <w:pPr>
        <w:jc w:val="both"/>
        <w:rPr>
          <w:lang w:val="en-GB" w:eastAsia="zh-CN"/>
        </w:rPr>
      </w:pPr>
      <w:r>
        <w:rPr>
          <w:lang w:val="en-GB" w:eastAsia="zh-CN"/>
        </w:rPr>
        <w:t>Note that these solutions shall not be mixed together with the case when the NW has not configured subgrouping (</w:t>
      </w:r>
      <w:r w:rsidRPr="00AB7CEE">
        <w:rPr>
          <w:lang w:val="en-GB" w:eastAsia="zh-CN"/>
        </w:rPr>
        <w:t>subgroupsNumPerPO</w:t>
      </w:r>
      <w:r>
        <w:rPr>
          <w:lang w:val="en-GB" w:eastAsia="zh-CN"/>
        </w:rPr>
        <w:t xml:space="preserve"> </w:t>
      </w:r>
      <w:r>
        <w:rPr>
          <w:rFonts w:cs="Arial"/>
          <w:lang w:val="en-GB" w:eastAsia="zh-CN"/>
        </w:rPr>
        <w:t>≤</w:t>
      </w:r>
      <w:r>
        <w:rPr>
          <w:lang w:val="en-GB" w:eastAsia="zh-CN"/>
        </w:rPr>
        <w:t xml:space="preserve"> 1) which RAN1 has already specified with K=1.</w:t>
      </w:r>
    </w:p>
    <w:p w14:paraId="2BD7261D" w14:textId="4D4FB667" w:rsidR="006469B8" w:rsidRDefault="006469B8" w:rsidP="006469B8">
      <w:pPr>
        <w:ind w:left="1204" w:hanging="1204"/>
        <w:jc w:val="both"/>
        <w:rPr>
          <w:b/>
          <w:bCs/>
          <w:iCs/>
        </w:rPr>
      </w:pPr>
      <w:r w:rsidRPr="006B5F90">
        <w:rPr>
          <w:b/>
          <w:bCs/>
          <w:iCs/>
        </w:rPr>
        <w:t xml:space="preserve">Proposal </w:t>
      </w:r>
      <w:r>
        <w:rPr>
          <w:b/>
          <w:bCs/>
          <w:iCs/>
        </w:rPr>
        <w:t>6</w:t>
      </w:r>
      <w:r w:rsidRPr="007110B8">
        <w:rPr>
          <w:b/>
          <w:bCs/>
          <w:iCs/>
        </w:rPr>
        <w:t xml:space="preserve">: </w:t>
      </w:r>
      <w:r>
        <w:rPr>
          <w:b/>
          <w:bCs/>
          <w:iCs/>
        </w:rPr>
        <w:t xml:space="preserve">If RAN2 maintains the position with subgrouping capabilities, use </w:t>
      </w:r>
      <w:r w:rsidR="00F2799B">
        <w:rPr>
          <w:b/>
          <w:bCs/>
          <w:iCs/>
        </w:rPr>
        <w:t xml:space="preserve">one </w:t>
      </w:r>
      <w:r>
        <w:rPr>
          <w:b/>
          <w:bCs/>
          <w:iCs/>
        </w:rPr>
        <w:t xml:space="preserve">of two methods for the scenarios in which NW </w:t>
      </w:r>
      <w:r w:rsidR="00841103">
        <w:rPr>
          <w:b/>
          <w:bCs/>
          <w:iCs/>
        </w:rPr>
        <w:t>configures a subgrouping method not supported by the UE:</w:t>
      </w:r>
    </w:p>
    <w:p w14:paraId="113333DD" w14:textId="24410AE9" w:rsidR="00841103" w:rsidRPr="00841103" w:rsidRDefault="00841103" w:rsidP="00841103">
      <w:pPr>
        <w:pStyle w:val="ListParagraph"/>
        <w:numPr>
          <w:ilvl w:val="0"/>
          <w:numId w:val="20"/>
        </w:numPr>
        <w:jc w:val="both"/>
        <w:rPr>
          <w:b/>
          <w:bCs/>
          <w:iCs/>
        </w:rPr>
      </w:pPr>
      <w:r w:rsidRPr="00841103">
        <w:rPr>
          <w:b/>
          <w:bCs/>
          <w:iCs/>
        </w:rPr>
        <w:t>The UE wakes up at the PO in case of PEI reception (CRC match), irrespective of the PEI contents.</w:t>
      </w:r>
    </w:p>
    <w:p w14:paraId="74595C6E" w14:textId="1F58A558" w:rsidR="00841103" w:rsidRPr="00841103" w:rsidRDefault="00841103" w:rsidP="00841103">
      <w:pPr>
        <w:pStyle w:val="ListParagraph"/>
        <w:numPr>
          <w:ilvl w:val="0"/>
          <w:numId w:val="20"/>
        </w:numPr>
        <w:jc w:val="both"/>
        <w:rPr>
          <w:b/>
          <w:bCs/>
          <w:iCs/>
        </w:rPr>
      </w:pPr>
      <w:r w:rsidRPr="00841103">
        <w:rPr>
          <w:b/>
          <w:bCs/>
          <w:iCs/>
        </w:rPr>
        <w:t>The UE always wakes up at the PO.</w:t>
      </w:r>
    </w:p>
    <w:p w14:paraId="0EC2CA03" w14:textId="3ED9C264" w:rsidR="000E72E8" w:rsidRPr="00747BB3" w:rsidRDefault="000E72E8" w:rsidP="000E72E8">
      <w:pPr>
        <w:rPr>
          <w:lang w:val="en-GB" w:eastAsia="zh-CN"/>
        </w:rPr>
      </w:pPr>
      <w:r w:rsidRPr="00747BB3">
        <w:rPr>
          <w:lang w:val="en-GB" w:eastAsia="zh-CN"/>
        </w:rPr>
        <w:t xml:space="preserve">In case </w:t>
      </w:r>
      <w:r>
        <w:rPr>
          <w:lang w:val="en-GB" w:eastAsia="zh-CN"/>
        </w:rPr>
        <w:t xml:space="preserve">PEI is only used in last used cell, then the neighbour cells do not need to be informed about PEI/subgroup info in the RAN paging message on Xn interface: </w:t>
      </w:r>
    </w:p>
    <w:p w14:paraId="61CC7BE7" w14:textId="023F4881" w:rsidR="000E72E8" w:rsidRPr="007110B8" w:rsidRDefault="000E72E8" w:rsidP="00BE63B8">
      <w:pPr>
        <w:ind w:left="1418" w:hanging="1418"/>
        <w:rPr>
          <w:b/>
          <w:bCs/>
          <w:lang w:val="en-GB" w:eastAsia="zh-CN"/>
        </w:rPr>
      </w:pPr>
      <w:r w:rsidRPr="006B5F90">
        <w:rPr>
          <w:b/>
          <w:bCs/>
          <w:lang w:val="en-GB" w:eastAsia="zh-CN"/>
        </w:rPr>
        <w:t xml:space="preserve">Observation </w:t>
      </w:r>
      <w:r w:rsidR="00614426">
        <w:rPr>
          <w:b/>
          <w:bCs/>
          <w:lang w:val="en-GB" w:eastAsia="zh-CN"/>
        </w:rPr>
        <w:t>5</w:t>
      </w:r>
      <w:r w:rsidRPr="007110B8">
        <w:rPr>
          <w:b/>
          <w:bCs/>
          <w:lang w:val="en-GB" w:eastAsia="zh-CN"/>
        </w:rPr>
        <w:t xml:space="preserve">: In case PEI is used in last used cell only, then there is no need for PEI/subgroup in Xn RAN paging message. </w:t>
      </w:r>
    </w:p>
    <w:p w14:paraId="7CBA2A33" w14:textId="6D4B0E2E" w:rsidR="000E72E8" w:rsidRDefault="000E72E8" w:rsidP="007110B8">
      <w:pPr>
        <w:jc w:val="both"/>
        <w:rPr>
          <w:lang w:val="en-GB" w:eastAsia="zh-CN"/>
        </w:rPr>
      </w:pPr>
      <w:r>
        <w:rPr>
          <w:lang w:val="en-GB" w:eastAsia="zh-CN"/>
        </w:rPr>
        <w:t xml:space="preserve">The UE Radio Capability for Paging is not present on the F1 interface, but </w:t>
      </w:r>
      <w:r w:rsidR="000F1D3F">
        <w:rPr>
          <w:lang w:val="en-GB" w:eastAsia="zh-CN"/>
        </w:rPr>
        <w:t>as PEI transmission is typically handled by lower layers</w:t>
      </w:r>
      <w:r w:rsidR="006300D7">
        <w:rPr>
          <w:lang w:val="en-GB" w:eastAsia="zh-CN"/>
        </w:rPr>
        <w:t xml:space="preserve"> </w:t>
      </w:r>
      <w:r w:rsidR="008B4571">
        <w:rPr>
          <w:lang w:val="en-GB" w:eastAsia="zh-CN"/>
        </w:rPr>
        <w:t xml:space="preserve">in </w:t>
      </w:r>
      <w:r w:rsidR="00B44175">
        <w:rPr>
          <w:lang w:val="en-GB" w:eastAsia="zh-CN"/>
        </w:rPr>
        <w:t>gNB-</w:t>
      </w:r>
      <w:r w:rsidR="006300D7">
        <w:rPr>
          <w:lang w:val="en-GB" w:eastAsia="zh-CN"/>
        </w:rPr>
        <w:t>DU</w:t>
      </w:r>
      <w:r w:rsidR="000F1D3F">
        <w:rPr>
          <w:lang w:val="en-GB" w:eastAsia="zh-CN"/>
        </w:rPr>
        <w:t xml:space="preserve">, the information </w:t>
      </w:r>
      <w:r w:rsidR="006300D7">
        <w:rPr>
          <w:lang w:val="en-GB" w:eastAsia="zh-CN"/>
        </w:rPr>
        <w:t xml:space="preserve">about whether PEI shall be transmitted before a PO </w:t>
      </w:r>
      <w:r w:rsidR="000F1D3F">
        <w:rPr>
          <w:lang w:val="en-GB" w:eastAsia="zh-CN"/>
        </w:rPr>
        <w:t xml:space="preserve">needs to be provided </w:t>
      </w:r>
      <w:r w:rsidR="006300D7">
        <w:rPr>
          <w:lang w:val="en-GB" w:eastAsia="zh-CN"/>
        </w:rPr>
        <w:t xml:space="preserve">to the </w:t>
      </w:r>
      <w:r w:rsidR="00B44175">
        <w:rPr>
          <w:lang w:val="en-GB" w:eastAsia="zh-CN"/>
        </w:rPr>
        <w:t>gNB-</w:t>
      </w:r>
      <w:r w:rsidR="006300D7">
        <w:rPr>
          <w:lang w:val="en-GB" w:eastAsia="zh-CN"/>
        </w:rPr>
        <w:t>DU. We therefore think that RAN3 needs to discuss how to best include the UE Radio Capability for Paging over the F1 interface.</w:t>
      </w:r>
      <w:r>
        <w:rPr>
          <w:lang w:val="en-GB" w:eastAsia="zh-CN"/>
        </w:rPr>
        <w:t xml:space="preserve"> </w:t>
      </w:r>
    </w:p>
    <w:p w14:paraId="4AD679DA" w14:textId="51A1DF82" w:rsidR="000E72E8" w:rsidRPr="007110B8" w:rsidRDefault="00715512" w:rsidP="00BE63B8">
      <w:pPr>
        <w:ind w:left="1134" w:hanging="1134"/>
        <w:rPr>
          <w:b/>
          <w:bCs/>
          <w:lang w:val="en-GB" w:eastAsia="zh-CN"/>
        </w:rPr>
      </w:pPr>
      <w:r>
        <w:rPr>
          <w:b/>
          <w:bCs/>
          <w:lang w:val="en-GB" w:eastAsia="zh-CN"/>
        </w:rPr>
        <w:t xml:space="preserve">Proposal </w:t>
      </w:r>
      <w:r w:rsidR="004B3A62">
        <w:rPr>
          <w:b/>
          <w:bCs/>
          <w:lang w:val="en-GB" w:eastAsia="zh-CN"/>
        </w:rPr>
        <w:t>9</w:t>
      </w:r>
      <w:r w:rsidR="000E72E8" w:rsidRPr="007110B8">
        <w:rPr>
          <w:b/>
          <w:bCs/>
          <w:lang w:val="en-GB" w:eastAsia="zh-CN"/>
        </w:rPr>
        <w:t xml:space="preserve">: </w:t>
      </w:r>
      <w:r>
        <w:rPr>
          <w:b/>
          <w:bCs/>
          <w:lang w:val="en-GB" w:eastAsia="zh-CN"/>
        </w:rPr>
        <w:t xml:space="preserve">Ask RAN3 to discuss the inclusion of UE Radio Capability for Paging over the F1 interface so that the </w:t>
      </w:r>
      <w:r w:rsidR="00B44175">
        <w:rPr>
          <w:b/>
          <w:bCs/>
          <w:lang w:val="en-GB" w:eastAsia="zh-CN"/>
        </w:rPr>
        <w:t>gNB-</w:t>
      </w:r>
      <w:r>
        <w:rPr>
          <w:b/>
          <w:bCs/>
          <w:lang w:val="en-GB" w:eastAsia="zh-CN"/>
        </w:rPr>
        <w:t>DU knows whether to transmit PEI before a PO</w:t>
      </w:r>
      <w:r w:rsidR="000E72E8" w:rsidRPr="007110B8">
        <w:rPr>
          <w:b/>
          <w:bCs/>
          <w:lang w:val="en-GB" w:eastAsia="zh-CN"/>
        </w:rPr>
        <w:t>.</w:t>
      </w:r>
    </w:p>
    <w:p w14:paraId="09B1C47A" w14:textId="4A0853DF" w:rsidR="006E530B" w:rsidRPr="007110B8" w:rsidRDefault="006E530B" w:rsidP="006E530B">
      <w:pPr>
        <w:pStyle w:val="Heading2"/>
      </w:pPr>
      <w:r w:rsidRPr="007110B8">
        <w:t xml:space="preserve">UE PEI </w:t>
      </w:r>
      <w:r w:rsidR="00EF4040">
        <w:t>usefulness reporting</w:t>
      </w:r>
    </w:p>
    <w:p w14:paraId="22DA839C" w14:textId="53414417" w:rsidR="008E6E26" w:rsidRDefault="008E6E26" w:rsidP="00AD7079">
      <w:pPr>
        <w:jc w:val="both"/>
        <w:rPr>
          <w:lang w:val="en-GB" w:eastAsia="zh-CN"/>
        </w:rPr>
      </w:pPr>
      <w:r>
        <w:rPr>
          <w:lang w:val="en-GB" w:eastAsia="zh-CN"/>
        </w:rPr>
        <w:t>As</w:t>
      </w:r>
      <w:r w:rsidR="00AD7079">
        <w:rPr>
          <w:lang w:val="en-GB" w:eastAsia="zh-CN"/>
        </w:rPr>
        <w:t xml:space="preserve"> stated</w:t>
      </w:r>
      <w:r>
        <w:rPr>
          <w:lang w:val="en-GB" w:eastAsia="zh-CN"/>
        </w:rPr>
        <w:t xml:space="preserve"> by UE vendors</w:t>
      </w:r>
      <w:r w:rsidR="00AD7079">
        <w:rPr>
          <w:lang w:val="en-GB" w:eastAsia="zh-CN"/>
        </w:rPr>
        <w:t xml:space="preserve"> during the course of WI</w:t>
      </w:r>
      <w:r>
        <w:rPr>
          <w:lang w:val="en-GB" w:eastAsia="zh-CN"/>
        </w:rPr>
        <w:t xml:space="preserve">, </w:t>
      </w:r>
      <w:r w:rsidR="007C61E5">
        <w:rPr>
          <w:lang w:val="en-GB" w:eastAsia="zh-CN"/>
        </w:rPr>
        <w:t>a</w:t>
      </w:r>
      <w:r>
        <w:rPr>
          <w:lang w:val="en-GB" w:eastAsia="zh-CN"/>
        </w:rPr>
        <w:t xml:space="preserve"> </w:t>
      </w:r>
      <w:r w:rsidRPr="007110B8">
        <w:rPr>
          <w:lang w:val="en-GB" w:eastAsia="zh-CN"/>
        </w:rPr>
        <w:t xml:space="preserve">UE </w:t>
      </w:r>
      <w:r>
        <w:rPr>
          <w:lang w:val="en-GB" w:eastAsia="zh-CN"/>
        </w:rPr>
        <w:t xml:space="preserve">may decide not </w:t>
      </w:r>
      <w:r w:rsidR="006F0F99">
        <w:rPr>
          <w:lang w:val="en-GB" w:eastAsia="zh-CN"/>
        </w:rPr>
        <w:t xml:space="preserve">to </w:t>
      </w:r>
      <w:r w:rsidRPr="007110B8">
        <w:rPr>
          <w:lang w:val="en-GB" w:eastAsia="zh-CN"/>
        </w:rPr>
        <w:t xml:space="preserve">monitor PEI </w:t>
      </w:r>
      <w:r>
        <w:rPr>
          <w:lang w:val="en-GB" w:eastAsia="zh-CN"/>
        </w:rPr>
        <w:t>and resort to regular PO</w:t>
      </w:r>
      <w:r w:rsidR="00AD7079">
        <w:rPr>
          <w:lang w:val="en-GB" w:eastAsia="zh-CN"/>
        </w:rPr>
        <w:t xml:space="preserve"> decoding if it, perhaps during periods, does not benefit from PEI</w:t>
      </w:r>
      <w:r w:rsidR="007906DC">
        <w:rPr>
          <w:lang w:val="en-GB" w:eastAsia="zh-CN"/>
        </w:rPr>
        <w:t xml:space="preserve"> </w:t>
      </w:r>
      <w:r w:rsidR="00C525BF">
        <w:rPr>
          <w:lang w:val="en-GB" w:eastAsia="zh-CN"/>
        </w:rPr>
        <w:t xml:space="preserve">reception </w:t>
      </w:r>
      <w:r w:rsidR="007906DC">
        <w:rPr>
          <w:lang w:val="en-GB" w:eastAsia="zh-CN"/>
        </w:rPr>
        <w:t>(</w:t>
      </w:r>
      <w:r w:rsidR="00696B8C">
        <w:rPr>
          <w:lang w:val="en-GB" w:eastAsia="zh-CN"/>
        </w:rPr>
        <w:t>e.g.,</w:t>
      </w:r>
      <w:r w:rsidR="007906DC">
        <w:rPr>
          <w:lang w:val="en-GB" w:eastAsia="zh-CN"/>
        </w:rPr>
        <w:t xml:space="preserve"> depending on UE coverage)</w:t>
      </w:r>
      <w:r w:rsidR="00AD7079">
        <w:rPr>
          <w:lang w:val="en-GB" w:eastAsia="zh-CN"/>
        </w:rPr>
        <w:t>. This means that e</w:t>
      </w:r>
      <w:r w:rsidR="00AD7079" w:rsidRPr="00C81EC4">
        <w:rPr>
          <w:lang w:val="en-GB" w:eastAsia="zh-CN"/>
        </w:rPr>
        <w:t xml:space="preserve">ven </w:t>
      </w:r>
      <w:r w:rsidR="00AD7079">
        <w:rPr>
          <w:lang w:val="en-GB" w:eastAsia="zh-CN"/>
        </w:rPr>
        <w:t xml:space="preserve">if the UE </w:t>
      </w:r>
      <w:r w:rsidR="0031773A">
        <w:rPr>
          <w:lang w:val="en-GB" w:eastAsia="zh-CN"/>
        </w:rPr>
        <w:t xml:space="preserve">would </w:t>
      </w:r>
      <w:r w:rsidR="00AD7079">
        <w:rPr>
          <w:lang w:val="en-GB" w:eastAsia="zh-CN"/>
        </w:rPr>
        <w:t>report</w:t>
      </w:r>
      <w:r w:rsidR="0031773A">
        <w:rPr>
          <w:lang w:val="en-GB" w:eastAsia="zh-CN"/>
        </w:rPr>
        <w:t xml:space="preserve"> to the NW in its capability</w:t>
      </w:r>
      <w:r w:rsidR="00AD7079">
        <w:rPr>
          <w:lang w:val="en-GB" w:eastAsia="zh-CN"/>
        </w:rPr>
        <w:t xml:space="preserve"> </w:t>
      </w:r>
      <w:r w:rsidR="0031773A">
        <w:rPr>
          <w:lang w:val="en-GB" w:eastAsia="zh-CN"/>
        </w:rPr>
        <w:t>that it is</w:t>
      </w:r>
      <w:r w:rsidR="00AD7079">
        <w:rPr>
          <w:lang w:val="en-GB" w:eastAsia="zh-CN"/>
        </w:rPr>
        <w:t xml:space="preserve"> PEI capab</w:t>
      </w:r>
      <w:r w:rsidR="0031773A">
        <w:rPr>
          <w:lang w:val="en-GB" w:eastAsia="zh-CN"/>
        </w:rPr>
        <w:t>le</w:t>
      </w:r>
      <w:r w:rsidR="00AD7079">
        <w:rPr>
          <w:lang w:val="en-GB" w:eastAsia="zh-CN"/>
        </w:rPr>
        <w:t xml:space="preserve">, it would not be known to the gNB whether the UE actually is using PEI. </w:t>
      </w:r>
      <w:r w:rsidR="00645A75">
        <w:rPr>
          <w:lang w:val="en-GB" w:eastAsia="zh-CN"/>
        </w:rPr>
        <w:t xml:space="preserve">It would be a clear waste of system resources and </w:t>
      </w:r>
      <w:r w:rsidR="00696B8C">
        <w:rPr>
          <w:lang w:val="en-GB" w:eastAsia="zh-CN"/>
        </w:rPr>
        <w:t xml:space="preserve">NW </w:t>
      </w:r>
      <w:r w:rsidR="00645A75">
        <w:rPr>
          <w:lang w:val="en-GB" w:eastAsia="zh-CN"/>
        </w:rPr>
        <w:t>energy consumption if the NW transmits PEI</w:t>
      </w:r>
      <w:r w:rsidR="006F0F99">
        <w:rPr>
          <w:lang w:val="en-GB" w:eastAsia="zh-CN"/>
        </w:rPr>
        <w:t>s</w:t>
      </w:r>
      <w:r w:rsidR="00645A75">
        <w:rPr>
          <w:lang w:val="en-GB" w:eastAsia="zh-CN"/>
        </w:rPr>
        <w:t xml:space="preserve"> without any considerable number </w:t>
      </w:r>
      <w:r w:rsidR="00C752B9">
        <w:rPr>
          <w:lang w:val="en-GB" w:eastAsia="zh-CN"/>
        </w:rPr>
        <w:t xml:space="preserve">of </w:t>
      </w:r>
      <w:r w:rsidR="00645A75">
        <w:rPr>
          <w:lang w:val="en-GB" w:eastAsia="zh-CN"/>
        </w:rPr>
        <w:t xml:space="preserve">UEs </w:t>
      </w:r>
      <w:r w:rsidR="006F0F99">
        <w:rPr>
          <w:lang w:val="en-GB" w:eastAsia="zh-CN"/>
        </w:rPr>
        <w:t>receiving them</w:t>
      </w:r>
      <w:r w:rsidR="00645A75">
        <w:rPr>
          <w:lang w:val="en-GB" w:eastAsia="zh-CN"/>
        </w:rPr>
        <w:t xml:space="preserve">. </w:t>
      </w:r>
      <w:r w:rsidR="00E072E8">
        <w:rPr>
          <w:lang w:val="en-GB" w:eastAsia="zh-CN"/>
        </w:rPr>
        <w:t>In addition</w:t>
      </w:r>
      <w:r w:rsidR="007D13B6">
        <w:rPr>
          <w:lang w:val="en-GB" w:eastAsia="zh-CN"/>
        </w:rPr>
        <w:t>,</w:t>
      </w:r>
      <w:r w:rsidR="00E072E8">
        <w:rPr>
          <w:lang w:val="en-GB" w:eastAsia="zh-CN"/>
        </w:rPr>
        <w:t xml:space="preserve"> the NW may have</w:t>
      </w:r>
      <w:r w:rsidR="007D13B6">
        <w:rPr>
          <w:lang w:val="en-GB" w:eastAsia="zh-CN"/>
        </w:rPr>
        <w:t xml:space="preserve"> (</w:t>
      </w:r>
      <w:r w:rsidR="00E072E8">
        <w:rPr>
          <w:lang w:val="en-GB" w:eastAsia="zh-CN"/>
        </w:rPr>
        <w:t xml:space="preserve">based on certain </w:t>
      </w:r>
      <w:r w:rsidR="00AE3B28">
        <w:rPr>
          <w:lang w:val="en-GB" w:eastAsia="zh-CN"/>
        </w:rPr>
        <w:t>assumptions</w:t>
      </w:r>
      <w:r w:rsidR="007D13B6">
        <w:rPr>
          <w:lang w:val="en-GB" w:eastAsia="zh-CN"/>
        </w:rPr>
        <w:t xml:space="preserve"> </w:t>
      </w:r>
      <w:r w:rsidR="00E072E8">
        <w:rPr>
          <w:lang w:val="en-GB" w:eastAsia="zh-CN"/>
        </w:rPr>
        <w:t>perhaps during periods</w:t>
      </w:r>
      <w:r w:rsidR="007D13B6">
        <w:rPr>
          <w:lang w:val="en-GB" w:eastAsia="zh-CN"/>
        </w:rPr>
        <w:t>)</w:t>
      </w:r>
      <w:r w:rsidR="00E072E8">
        <w:rPr>
          <w:lang w:val="en-GB" w:eastAsia="zh-CN"/>
        </w:rPr>
        <w:t xml:space="preserve">, turned off the PEI feature assuming that not a considerable number of UEs are using </w:t>
      </w:r>
      <w:r w:rsidR="009062B0">
        <w:rPr>
          <w:lang w:val="en-GB" w:eastAsia="zh-CN"/>
        </w:rPr>
        <w:t>it</w:t>
      </w:r>
      <w:r w:rsidR="00E072E8">
        <w:rPr>
          <w:lang w:val="en-GB" w:eastAsia="zh-CN"/>
        </w:rPr>
        <w:t>.</w:t>
      </w:r>
      <w:r w:rsidR="00AE3B28">
        <w:rPr>
          <w:lang w:val="en-GB" w:eastAsia="zh-CN"/>
        </w:rPr>
        <w:t xml:space="preserve"> </w:t>
      </w:r>
      <w:r w:rsidR="009538C4">
        <w:rPr>
          <w:lang w:val="en-GB" w:eastAsia="zh-CN"/>
        </w:rPr>
        <w:t>However, as the given SNR levels for specific UEs in Idle/Inactive may not be fully known to the gNB, there may be more UEs benefitting from PEI transmission than currently assumed by the gNB.</w:t>
      </w:r>
      <w:r w:rsidR="009F7E7B">
        <w:rPr>
          <w:lang w:val="en-GB" w:eastAsia="zh-CN"/>
        </w:rPr>
        <w:t xml:space="preserve"> For these reasons, we think it would be beneficial if the UEs could report whether they are currently using PEI or would be interested in using PEI if supported by the gNB but currently turned off. </w:t>
      </w:r>
      <w:r w:rsidR="00B04494">
        <w:rPr>
          <w:lang w:val="en-GB" w:eastAsia="zh-CN"/>
        </w:rPr>
        <w:t>We think that such reporting should preferably be through lightweight procedures without considerable impact on signalling</w:t>
      </w:r>
      <w:r w:rsidR="00F53C6E">
        <w:rPr>
          <w:lang w:val="en-GB" w:eastAsia="zh-CN"/>
        </w:rPr>
        <w:t xml:space="preserve">, </w:t>
      </w:r>
      <w:r w:rsidR="00B04494">
        <w:rPr>
          <w:lang w:val="en-GB" w:eastAsia="zh-CN"/>
        </w:rPr>
        <w:t>UE implementation</w:t>
      </w:r>
      <w:r w:rsidR="00F53C6E">
        <w:rPr>
          <w:lang w:val="en-GB" w:eastAsia="zh-CN"/>
        </w:rPr>
        <w:t>,</w:t>
      </w:r>
      <w:r w:rsidR="00B04494">
        <w:rPr>
          <w:lang w:val="en-GB" w:eastAsia="zh-CN"/>
        </w:rPr>
        <w:t xml:space="preserve"> and energy consumption. For example, the UE could piggy-back such information on existing signalling such </w:t>
      </w:r>
      <w:r w:rsidR="00B04494">
        <w:rPr>
          <w:lang w:val="en-GB" w:eastAsia="zh-CN"/>
        </w:rPr>
        <w:lastRenderedPageBreak/>
        <w:t xml:space="preserve">as on </w:t>
      </w:r>
      <w:r w:rsidR="002B6742">
        <w:rPr>
          <w:lang w:val="en-GB" w:eastAsia="zh-CN"/>
        </w:rPr>
        <w:t>messages</w:t>
      </w:r>
      <w:r w:rsidR="00B04494">
        <w:rPr>
          <w:lang w:val="en-GB" w:eastAsia="zh-CN"/>
        </w:rPr>
        <w:t xml:space="preserve"> involved during connection establishment in response to a paging</w:t>
      </w:r>
      <w:r w:rsidR="002B6742">
        <w:rPr>
          <w:lang w:val="en-GB" w:eastAsia="zh-CN"/>
        </w:rPr>
        <w:t xml:space="preserve">, </w:t>
      </w:r>
      <w:r w:rsidR="00B04494">
        <w:rPr>
          <w:lang w:val="en-GB" w:eastAsia="zh-CN"/>
        </w:rPr>
        <w:t>e.g., an indicator saying whether the feature is “useful”</w:t>
      </w:r>
      <w:r w:rsidR="00CB54BF">
        <w:rPr>
          <w:lang w:val="en-GB" w:eastAsia="zh-CN"/>
        </w:rPr>
        <w:t>/”beneficial</w:t>
      </w:r>
      <w:r w:rsidR="00DC3C86">
        <w:rPr>
          <w:lang w:val="en-GB" w:eastAsia="zh-CN"/>
        </w:rPr>
        <w:t>”</w:t>
      </w:r>
      <w:r w:rsidR="00CB54BF">
        <w:rPr>
          <w:lang w:val="en-GB" w:eastAsia="zh-CN"/>
        </w:rPr>
        <w:t xml:space="preserve"> for the UE</w:t>
      </w:r>
      <w:r w:rsidR="00B04494">
        <w:rPr>
          <w:lang w:val="en-GB" w:eastAsia="zh-CN"/>
        </w:rPr>
        <w:t>.</w:t>
      </w:r>
    </w:p>
    <w:p w14:paraId="26EFF60F" w14:textId="5F67F0A2" w:rsidR="00B24B82" w:rsidRPr="00C81EC4" w:rsidRDefault="00B24B82" w:rsidP="00B24B82">
      <w:pPr>
        <w:rPr>
          <w:b/>
          <w:bCs/>
          <w:iCs/>
        </w:rPr>
      </w:pPr>
      <w:r w:rsidRPr="00C81EC4">
        <w:rPr>
          <w:b/>
          <w:bCs/>
          <w:iCs/>
        </w:rPr>
        <w:t xml:space="preserve">Proposal </w:t>
      </w:r>
      <w:r w:rsidR="00F83D09">
        <w:rPr>
          <w:b/>
          <w:bCs/>
          <w:iCs/>
        </w:rPr>
        <w:t>10</w:t>
      </w:r>
      <w:r w:rsidRPr="00C81EC4">
        <w:rPr>
          <w:b/>
          <w:bCs/>
          <w:iCs/>
        </w:rPr>
        <w:t xml:space="preserve">: </w:t>
      </w:r>
      <w:r w:rsidR="007F332D">
        <w:rPr>
          <w:b/>
          <w:bCs/>
          <w:iCs/>
        </w:rPr>
        <w:t>If configured by the NW,</w:t>
      </w:r>
      <w:r w:rsidRPr="00C81EC4">
        <w:rPr>
          <w:b/>
          <w:bCs/>
          <w:iCs/>
        </w:rPr>
        <w:t xml:space="preserve"> </w:t>
      </w:r>
      <w:r w:rsidR="007F332D">
        <w:rPr>
          <w:b/>
          <w:bCs/>
          <w:iCs/>
        </w:rPr>
        <w:t xml:space="preserve">UE </w:t>
      </w:r>
      <w:r w:rsidR="00093614">
        <w:rPr>
          <w:b/>
          <w:bCs/>
          <w:iCs/>
        </w:rPr>
        <w:t>indicates</w:t>
      </w:r>
      <w:r w:rsidR="007F332D">
        <w:rPr>
          <w:b/>
          <w:bCs/>
          <w:iCs/>
        </w:rPr>
        <w:t xml:space="preserve"> whether </w:t>
      </w:r>
      <w:r w:rsidRPr="00C81EC4">
        <w:rPr>
          <w:b/>
          <w:bCs/>
          <w:iCs/>
        </w:rPr>
        <w:t>PEI</w:t>
      </w:r>
      <w:r w:rsidR="00DC3C86">
        <w:rPr>
          <w:b/>
          <w:bCs/>
          <w:iCs/>
        </w:rPr>
        <w:t xml:space="preserve"> is </w:t>
      </w:r>
      <w:r w:rsidR="00064F64">
        <w:rPr>
          <w:b/>
          <w:bCs/>
          <w:iCs/>
        </w:rPr>
        <w:t xml:space="preserve">currently </w:t>
      </w:r>
      <w:r w:rsidR="00DC3C86">
        <w:rPr>
          <w:b/>
          <w:bCs/>
          <w:iCs/>
        </w:rPr>
        <w:t>useful for the UE.</w:t>
      </w:r>
    </w:p>
    <w:p w14:paraId="4D11608D" w14:textId="77777777" w:rsidR="00B24B82" w:rsidRPr="007110B8" w:rsidRDefault="00B24B82" w:rsidP="007110B8">
      <w:pPr>
        <w:jc w:val="both"/>
        <w:rPr>
          <w:lang w:val="en-GB" w:eastAsia="zh-CN"/>
        </w:rPr>
      </w:pPr>
    </w:p>
    <w:p w14:paraId="5E650D32" w14:textId="77777777" w:rsidR="009D725A" w:rsidRDefault="009D725A" w:rsidP="009D725A">
      <w:pPr>
        <w:pStyle w:val="Heading1"/>
        <w:jc w:val="both"/>
      </w:pPr>
      <w:bookmarkStart w:id="5" w:name="_Toc242573360"/>
      <w:r>
        <w:t>Summary</w:t>
      </w:r>
      <w:bookmarkEnd w:id="5"/>
    </w:p>
    <w:p w14:paraId="65B81F03" w14:textId="5DF1560E" w:rsidR="001659F2" w:rsidRDefault="001659F2" w:rsidP="001659F2">
      <w:bookmarkStart w:id="6" w:name="_Toc242573361"/>
      <w:r>
        <w:t xml:space="preserve">RAN2 is kindly asked to </w:t>
      </w:r>
      <w:r w:rsidR="00910638">
        <w:t xml:space="preserve">discuss </w:t>
      </w:r>
      <w:r w:rsidR="00CD6D9B" w:rsidRPr="007110B8">
        <w:t>following</w:t>
      </w:r>
      <w:r>
        <w:t xml:space="preserve">: </w:t>
      </w:r>
    </w:p>
    <w:p w14:paraId="703B362E" w14:textId="77777777" w:rsidR="00F2799B" w:rsidRPr="007110B8" w:rsidRDefault="00F2799B" w:rsidP="00F2799B">
      <w:pPr>
        <w:ind w:left="1418" w:hanging="1418"/>
        <w:jc w:val="both"/>
        <w:rPr>
          <w:b/>
          <w:bCs/>
          <w:lang w:val="en-GB" w:eastAsia="zh-CN"/>
        </w:rPr>
      </w:pPr>
      <w:r w:rsidRPr="006B5F90">
        <w:rPr>
          <w:b/>
          <w:bCs/>
          <w:lang w:val="en-GB" w:eastAsia="zh-CN"/>
        </w:rPr>
        <w:t xml:space="preserve">Observation </w:t>
      </w:r>
      <w:r>
        <w:rPr>
          <w:b/>
          <w:bCs/>
          <w:lang w:val="en-GB" w:eastAsia="zh-CN"/>
        </w:rPr>
        <w:t>1</w:t>
      </w:r>
      <w:r w:rsidRPr="007110B8">
        <w:rPr>
          <w:b/>
          <w:bCs/>
          <w:lang w:val="en-GB" w:eastAsia="zh-CN"/>
        </w:rPr>
        <w:t xml:space="preserve">: The use of Paging PDCCH when the UE supports K0 &gt; 0 renders useless when there is a mixture of legacy and new UEs assigned to the same PO. </w:t>
      </w:r>
    </w:p>
    <w:p w14:paraId="2A9A762D" w14:textId="77777777" w:rsidR="00F2799B" w:rsidRPr="007110B8" w:rsidRDefault="00F2799B" w:rsidP="00F2799B">
      <w:pPr>
        <w:ind w:left="1418" w:hanging="1418"/>
        <w:jc w:val="both"/>
        <w:rPr>
          <w:b/>
          <w:bCs/>
          <w:lang w:val="en-GB" w:eastAsia="zh-CN"/>
        </w:rPr>
      </w:pPr>
      <w:r w:rsidRPr="006B5F90">
        <w:rPr>
          <w:b/>
          <w:bCs/>
          <w:lang w:val="en-GB" w:eastAsia="zh-CN"/>
        </w:rPr>
        <w:t xml:space="preserve">Observation </w:t>
      </w:r>
      <w:r>
        <w:rPr>
          <w:b/>
          <w:bCs/>
          <w:lang w:val="en-GB" w:eastAsia="zh-CN"/>
        </w:rPr>
        <w:t>2</w:t>
      </w:r>
      <w:r w:rsidRPr="007110B8">
        <w:rPr>
          <w:b/>
          <w:bCs/>
          <w:lang w:val="en-GB" w:eastAsia="zh-CN"/>
        </w:rPr>
        <w:t>: Mixture of legacy and PEI capable UEs in the same POs implies that the NW has to transmit PEI for all POs.</w:t>
      </w:r>
    </w:p>
    <w:p w14:paraId="02B472BE" w14:textId="77777777" w:rsidR="00F2799B" w:rsidRPr="007110B8" w:rsidRDefault="00F2799B" w:rsidP="00F2799B">
      <w:pPr>
        <w:ind w:left="1418" w:hanging="1418"/>
        <w:jc w:val="both"/>
        <w:rPr>
          <w:b/>
          <w:bCs/>
          <w:lang w:val="en-GB" w:eastAsia="zh-CN"/>
        </w:rPr>
      </w:pPr>
      <w:r w:rsidRPr="006B5F90">
        <w:rPr>
          <w:b/>
          <w:bCs/>
          <w:lang w:val="en-GB" w:eastAsia="zh-CN"/>
        </w:rPr>
        <w:t xml:space="preserve">Observation </w:t>
      </w:r>
      <w:r>
        <w:rPr>
          <w:b/>
          <w:bCs/>
          <w:lang w:val="en-GB" w:eastAsia="zh-CN"/>
        </w:rPr>
        <w:t>3</w:t>
      </w:r>
      <w:r w:rsidRPr="007110B8">
        <w:rPr>
          <w:b/>
          <w:bCs/>
          <w:lang w:val="en-GB" w:eastAsia="zh-CN"/>
        </w:rPr>
        <w:t>: Mixture of legacy and PEI capable UEs in the same POs raises the impact on legacy UEs as they will be more often falsely paged.</w:t>
      </w:r>
    </w:p>
    <w:p w14:paraId="5FA2A70F" w14:textId="77777777" w:rsidR="00F2799B" w:rsidRDefault="00F2799B" w:rsidP="00F2799B">
      <w:pPr>
        <w:ind w:left="1470" w:hanging="1470"/>
        <w:rPr>
          <w:b/>
          <w:bCs/>
          <w:lang w:val="en-GB" w:eastAsia="zh-CN"/>
        </w:rPr>
      </w:pPr>
      <w:r w:rsidRPr="006B5F90">
        <w:rPr>
          <w:b/>
          <w:bCs/>
          <w:lang w:val="en-GB" w:eastAsia="zh-CN"/>
        </w:rPr>
        <w:t xml:space="preserve">Observation </w:t>
      </w:r>
      <w:r>
        <w:rPr>
          <w:b/>
          <w:bCs/>
          <w:lang w:val="en-GB" w:eastAsia="zh-CN"/>
        </w:rPr>
        <w:t>4</w:t>
      </w:r>
      <w:r w:rsidRPr="007110B8">
        <w:rPr>
          <w:b/>
          <w:bCs/>
          <w:lang w:val="en-GB" w:eastAsia="zh-CN"/>
        </w:rPr>
        <w:t xml:space="preserve">: The </w:t>
      </w:r>
      <w:r>
        <w:rPr>
          <w:b/>
          <w:bCs/>
          <w:lang w:val="en-GB" w:eastAsia="zh-CN"/>
        </w:rPr>
        <w:t xml:space="preserve">introduction of subgrouping capabilities has led to multiple </w:t>
      </w:r>
      <w:r w:rsidRPr="008D60FF">
        <w:rPr>
          <w:b/>
          <w:bCs/>
          <w:lang w:val="en-GB" w:eastAsia="zh-CN"/>
        </w:rPr>
        <w:t xml:space="preserve">scenario combinations that need to be </w:t>
      </w:r>
      <w:r>
        <w:rPr>
          <w:b/>
          <w:bCs/>
          <w:lang w:val="en-GB" w:eastAsia="zh-CN"/>
        </w:rPr>
        <w:t>handled by the specification</w:t>
      </w:r>
      <w:r w:rsidRPr="008D60FF">
        <w:rPr>
          <w:b/>
          <w:bCs/>
          <w:lang w:val="en-GB" w:eastAsia="zh-CN"/>
        </w:rPr>
        <w:t xml:space="preserve">; combinations of what the UE supports, and what the NW has </w:t>
      </w:r>
      <w:r>
        <w:rPr>
          <w:b/>
          <w:bCs/>
          <w:lang w:val="en-GB" w:eastAsia="zh-CN"/>
        </w:rPr>
        <w:t>configured.</w:t>
      </w:r>
    </w:p>
    <w:p w14:paraId="7DEFC197" w14:textId="77777777" w:rsidR="00F2799B" w:rsidRPr="007110B8" w:rsidRDefault="00F2799B" w:rsidP="00F2799B">
      <w:pPr>
        <w:ind w:left="1418" w:hanging="1418"/>
        <w:rPr>
          <w:b/>
          <w:bCs/>
          <w:lang w:val="en-GB" w:eastAsia="zh-CN"/>
        </w:rPr>
      </w:pPr>
      <w:r w:rsidRPr="006B5F90">
        <w:rPr>
          <w:b/>
          <w:bCs/>
          <w:lang w:val="en-GB" w:eastAsia="zh-CN"/>
        </w:rPr>
        <w:t xml:space="preserve">Observation </w:t>
      </w:r>
      <w:r>
        <w:rPr>
          <w:b/>
          <w:bCs/>
          <w:lang w:val="en-GB" w:eastAsia="zh-CN"/>
        </w:rPr>
        <w:t>5</w:t>
      </w:r>
      <w:r w:rsidRPr="007110B8">
        <w:rPr>
          <w:b/>
          <w:bCs/>
          <w:lang w:val="en-GB" w:eastAsia="zh-CN"/>
        </w:rPr>
        <w:t xml:space="preserve">: In case PEI is used in last used cell only, then there is no need for PEI/subgroup in Xn RAN paging message. </w:t>
      </w:r>
    </w:p>
    <w:p w14:paraId="21C1E149" w14:textId="77777777" w:rsidR="00F2799B" w:rsidRDefault="00F2799B" w:rsidP="00F2799B">
      <w:pPr>
        <w:ind w:left="1134" w:hanging="1134"/>
        <w:jc w:val="both"/>
        <w:rPr>
          <w:b/>
          <w:bCs/>
          <w:lang w:val="en-GB" w:eastAsia="zh-CN"/>
        </w:rPr>
      </w:pPr>
    </w:p>
    <w:p w14:paraId="25EC7621" w14:textId="77777777" w:rsidR="00F2799B" w:rsidRDefault="00F2799B" w:rsidP="00F2799B">
      <w:pPr>
        <w:ind w:left="1134" w:hanging="1134"/>
        <w:jc w:val="both"/>
        <w:rPr>
          <w:lang w:val="en-GB" w:eastAsia="zh-CN"/>
        </w:rPr>
      </w:pPr>
      <w:r w:rsidRPr="005959AA">
        <w:rPr>
          <w:b/>
          <w:bCs/>
          <w:lang w:val="en-GB" w:eastAsia="zh-CN"/>
        </w:rPr>
        <w:t xml:space="preserve">Proposal </w:t>
      </w:r>
      <w:r>
        <w:rPr>
          <w:b/>
          <w:bCs/>
          <w:lang w:val="en-GB" w:eastAsia="zh-CN"/>
        </w:rPr>
        <w:t>1</w:t>
      </w:r>
      <w:r w:rsidRPr="007110B8">
        <w:rPr>
          <w:b/>
          <w:bCs/>
          <w:lang w:val="en-GB" w:eastAsia="zh-CN"/>
        </w:rPr>
        <w:t>: PEI config</w:t>
      </w:r>
      <w:r>
        <w:rPr>
          <w:b/>
          <w:bCs/>
          <w:lang w:val="en-GB" w:eastAsia="zh-CN"/>
        </w:rPr>
        <w:t>uration is</w:t>
      </w:r>
      <w:r w:rsidRPr="007110B8">
        <w:rPr>
          <w:b/>
          <w:bCs/>
          <w:lang w:val="en-GB" w:eastAsia="zh-CN"/>
        </w:rPr>
        <w:t xml:space="preserve"> included in SIBx currently proposed for TRS </w:t>
      </w:r>
      <w:r>
        <w:rPr>
          <w:b/>
          <w:bCs/>
          <w:lang w:val="en-GB" w:eastAsia="zh-CN"/>
        </w:rPr>
        <w:t xml:space="preserve">resource </w:t>
      </w:r>
      <w:r w:rsidRPr="007110B8">
        <w:rPr>
          <w:b/>
          <w:bCs/>
          <w:lang w:val="en-GB" w:eastAsia="zh-CN"/>
        </w:rPr>
        <w:t>configuration.</w:t>
      </w:r>
    </w:p>
    <w:p w14:paraId="7B7C83D6" w14:textId="77777777" w:rsidR="00F2799B" w:rsidRPr="007110B8" w:rsidRDefault="00F2799B" w:rsidP="00F2799B">
      <w:pPr>
        <w:spacing w:before="200"/>
        <w:ind w:left="1134" w:hanging="1134"/>
        <w:jc w:val="both"/>
        <w:rPr>
          <w:b/>
          <w:bCs/>
          <w:lang w:val="en-GB" w:eastAsia="zh-CN"/>
        </w:rPr>
      </w:pPr>
      <w:r w:rsidRPr="006B5F90">
        <w:rPr>
          <w:b/>
          <w:bCs/>
          <w:lang w:val="en-GB" w:eastAsia="zh-CN"/>
        </w:rPr>
        <w:t xml:space="preserve">Proposal </w:t>
      </w:r>
      <w:r>
        <w:rPr>
          <w:b/>
          <w:bCs/>
          <w:lang w:val="en-GB" w:eastAsia="zh-CN"/>
        </w:rPr>
        <w:t>2</w:t>
      </w:r>
      <w:r w:rsidRPr="007110B8">
        <w:rPr>
          <w:b/>
          <w:bCs/>
          <w:lang w:val="en-GB" w:eastAsia="zh-CN"/>
        </w:rPr>
        <w:t xml:space="preserve">: CN informs RAN about the number of </w:t>
      </w:r>
      <w:r w:rsidRPr="007110B8">
        <w:rPr>
          <w:b/>
          <w:bCs/>
          <w:i/>
          <w:iCs/>
          <w:lang w:val="en-GB" w:eastAsia="zh-CN"/>
        </w:rPr>
        <w:t>subgroupsNumPerPO</w:t>
      </w:r>
      <w:r w:rsidRPr="007110B8">
        <w:rPr>
          <w:b/>
          <w:bCs/>
          <w:lang w:val="en-GB" w:eastAsia="zh-CN"/>
        </w:rPr>
        <w:t xml:space="preserve"> to use for the CN-assigned subgrouping. </w:t>
      </w:r>
    </w:p>
    <w:p w14:paraId="72DA9D41" w14:textId="77777777" w:rsidR="00F2799B" w:rsidRDefault="00F2799B" w:rsidP="00F2799B">
      <w:pPr>
        <w:ind w:left="1134" w:hanging="1134"/>
        <w:jc w:val="both"/>
        <w:rPr>
          <w:rFonts w:cs="Arial"/>
          <w:b/>
          <w:bCs/>
        </w:rPr>
      </w:pPr>
      <w:r w:rsidRPr="007F7234">
        <w:rPr>
          <w:b/>
          <w:bCs/>
          <w:iCs/>
        </w:rPr>
        <w:t xml:space="preserve">Proposal </w:t>
      </w:r>
      <w:r>
        <w:rPr>
          <w:b/>
          <w:bCs/>
          <w:iCs/>
        </w:rPr>
        <w:t>3</w:t>
      </w:r>
      <w:r>
        <w:rPr>
          <w:iCs/>
        </w:rPr>
        <w:t xml:space="preserve">: </w:t>
      </w:r>
      <w:r w:rsidRPr="007110B8">
        <w:rPr>
          <w:b/>
          <w:bCs/>
        </w:rPr>
        <w:t xml:space="preserve">No special handling is introduced for PEI when eDRX PTW is configured (if eDRX PTW is supported). </w:t>
      </w:r>
      <w:r w:rsidRPr="007110B8">
        <w:rPr>
          <w:rFonts w:cs="Arial"/>
          <w:b/>
          <w:bCs/>
        </w:rPr>
        <w:t>The UE wakes up at configured PTW during which PEI is applicable to the POs within.</w:t>
      </w:r>
    </w:p>
    <w:p w14:paraId="47CFB1D6" w14:textId="77777777" w:rsidR="00F2799B" w:rsidRPr="007110B8" w:rsidRDefault="00F2799B" w:rsidP="00F2799B">
      <w:pPr>
        <w:ind w:left="1134" w:hanging="1134"/>
        <w:jc w:val="both"/>
        <w:rPr>
          <w:rFonts w:cs="Arial"/>
          <w:b/>
          <w:bCs/>
          <w:color w:val="000000" w:themeColor="text1"/>
          <w:szCs w:val="20"/>
          <w:lang w:val="en-GB" w:eastAsia="zh-CN"/>
        </w:rPr>
      </w:pPr>
      <w:r w:rsidRPr="006B5F90">
        <w:rPr>
          <w:rFonts w:cs="Arial"/>
          <w:b/>
          <w:bCs/>
          <w:color w:val="000000" w:themeColor="text1"/>
          <w:szCs w:val="20"/>
          <w:lang w:val="en-GB" w:eastAsia="zh-CN"/>
        </w:rPr>
        <w:t xml:space="preserve">Proposal </w:t>
      </w:r>
      <w:r>
        <w:rPr>
          <w:rFonts w:cs="Arial"/>
          <w:b/>
          <w:bCs/>
          <w:color w:val="000000" w:themeColor="text1"/>
          <w:szCs w:val="20"/>
          <w:lang w:val="en-GB" w:eastAsia="zh-CN"/>
        </w:rPr>
        <w:t>4</w:t>
      </w:r>
      <w:r w:rsidRPr="007110B8">
        <w:rPr>
          <w:rFonts w:cs="Arial"/>
          <w:b/>
          <w:bCs/>
          <w:color w:val="000000" w:themeColor="text1"/>
          <w:szCs w:val="20"/>
          <w:lang w:val="en-GB" w:eastAsia="zh-CN"/>
        </w:rPr>
        <w:t>: Network can optionally configure a separate set of PO(s) dedicated to Rel-17 UEs with new paging capabilities.</w:t>
      </w:r>
    </w:p>
    <w:p w14:paraId="05E635E3" w14:textId="77777777" w:rsidR="00F2799B" w:rsidRPr="009E2FDA" w:rsidRDefault="00F2799B" w:rsidP="00F2799B">
      <w:pPr>
        <w:ind w:left="1134" w:hanging="1134"/>
        <w:rPr>
          <w:highlight w:val="yellow"/>
          <w:lang w:val="en-GB" w:eastAsia="zh-CN"/>
        </w:rPr>
      </w:pPr>
      <w:r w:rsidRPr="006B5F90">
        <w:rPr>
          <w:rFonts w:cs="Arial"/>
          <w:b/>
          <w:bCs/>
          <w:color w:val="000000" w:themeColor="text1"/>
          <w:szCs w:val="20"/>
          <w:lang w:val="en-GB" w:eastAsia="zh-CN"/>
        </w:rPr>
        <w:t xml:space="preserve">Proposal </w:t>
      </w:r>
      <w:r>
        <w:rPr>
          <w:rFonts w:cs="Arial"/>
          <w:b/>
          <w:bCs/>
          <w:color w:val="000000" w:themeColor="text1"/>
          <w:szCs w:val="20"/>
          <w:lang w:val="en-GB" w:eastAsia="zh-CN"/>
        </w:rPr>
        <w:t>5</w:t>
      </w:r>
      <w:r w:rsidRPr="007110B8">
        <w:rPr>
          <w:rFonts w:cs="Arial"/>
          <w:b/>
          <w:bCs/>
          <w:color w:val="000000" w:themeColor="text1"/>
          <w:szCs w:val="20"/>
          <w:lang w:val="en-GB" w:eastAsia="zh-CN"/>
        </w:rPr>
        <w:t xml:space="preserve">: Network can configure dedicated POs for UEs supporting PEI and K0&gt;0 via a second </w:t>
      </w:r>
      <w:r>
        <w:rPr>
          <w:rFonts w:cs="Arial"/>
          <w:b/>
          <w:bCs/>
          <w:color w:val="000000" w:themeColor="text1"/>
          <w:szCs w:val="20"/>
          <w:lang w:val="en-GB" w:eastAsia="zh-CN"/>
        </w:rPr>
        <w:t xml:space="preserve">set of </w:t>
      </w:r>
      <w:r w:rsidRPr="007110B8">
        <w:rPr>
          <w:rFonts w:cs="Arial"/>
          <w:b/>
          <w:bCs/>
          <w:i/>
          <w:iCs/>
          <w:color w:val="000000" w:themeColor="text1"/>
          <w:szCs w:val="20"/>
          <w:lang w:val="en-GB" w:eastAsia="zh-CN"/>
        </w:rPr>
        <w:t>ns</w:t>
      </w:r>
      <w:r w:rsidRPr="007110B8">
        <w:rPr>
          <w:rFonts w:cs="Arial"/>
          <w:b/>
          <w:bCs/>
          <w:color w:val="000000" w:themeColor="text1"/>
          <w:szCs w:val="20"/>
          <w:lang w:val="en-GB" w:eastAsia="zh-CN"/>
        </w:rPr>
        <w:t xml:space="preserve">, and/or </w:t>
      </w:r>
      <w:r w:rsidRPr="007110B8">
        <w:rPr>
          <w:b/>
          <w:bCs/>
          <w:i/>
          <w:iCs/>
        </w:rPr>
        <w:t>nAndPagingFrameOffset</w:t>
      </w:r>
      <w:r w:rsidRPr="007110B8">
        <w:rPr>
          <w:rFonts w:cs="Arial"/>
          <w:b/>
          <w:bCs/>
          <w:color w:val="000000" w:themeColor="text1"/>
          <w:szCs w:val="20"/>
          <w:lang w:val="en-GB" w:eastAsia="zh-CN"/>
        </w:rPr>
        <w:t xml:space="preserve"> and/or </w:t>
      </w:r>
      <w:r w:rsidRPr="007110B8">
        <w:rPr>
          <w:b/>
          <w:bCs/>
          <w:i/>
          <w:iCs/>
        </w:rPr>
        <w:t>firstPDCCH-MonitoringOccasionOfPO</w:t>
      </w:r>
      <w:r w:rsidRPr="007110B8">
        <w:rPr>
          <w:rFonts w:cs="Arial"/>
          <w:b/>
          <w:bCs/>
          <w:color w:val="000000" w:themeColor="text1"/>
          <w:szCs w:val="20"/>
          <w:lang w:val="en-GB" w:eastAsia="zh-CN"/>
        </w:rPr>
        <w:t xml:space="preserve"> parameter</w:t>
      </w:r>
      <w:r>
        <w:rPr>
          <w:rFonts w:cs="Arial"/>
          <w:b/>
          <w:bCs/>
          <w:color w:val="000000" w:themeColor="text1"/>
          <w:szCs w:val="20"/>
          <w:lang w:val="en-GB" w:eastAsia="zh-CN"/>
        </w:rPr>
        <w:t>s</w:t>
      </w:r>
      <w:r w:rsidRPr="007110B8">
        <w:rPr>
          <w:rFonts w:cs="Arial"/>
          <w:b/>
          <w:bCs/>
          <w:color w:val="000000" w:themeColor="text1"/>
          <w:szCs w:val="20"/>
          <w:lang w:val="en-GB" w:eastAsia="zh-CN"/>
        </w:rPr>
        <w:t>.</w:t>
      </w:r>
    </w:p>
    <w:p w14:paraId="6BAE0274" w14:textId="77777777" w:rsidR="00F2799B" w:rsidRDefault="00F2799B" w:rsidP="00F2799B">
      <w:pPr>
        <w:ind w:left="1134" w:hanging="1134"/>
        <w:jc w:val="both"/>
        <w:rPr>
          <w:b/>
          <w:bCs/>
          <w:iCs/>
        </w:rPr>
      </w:pPr>
      <w:r w:rsidRPr="006B5F90">
        <w:rPr>
          <w:b/>
          <w:bCs/>
          <w:iCs/>
        </w:rPr>
        <w:t xml:space="preserve">Proposal </w:t>
      </w:r>
      <w:r>
        <w:rPr>
          <w:b/>
          <w:bCs/>
          <w:iCs/>
        </w:rPr>
        <w:t>6</w:t>
      </w:r>
      <w:r w:rsidRPr="007110B8">
        <w:rPr>
          <w:b/>
          <w:bCs/>
          <w:iCs/>
        </w:rPr>
        <w:t xml:space="preserve">: </w:t>
      </w:r>
      <w:r>
        <w:rPr>
          <w:b/>
          <w:bCs/>
          <w:iCs/>
        </w:rPr>
        <w:t>RAN2 reconsiders the capability introduction for subgrouping. UE that supports PEI should also support both subgrouping methods (CN-based and UE-ID based).</w:t>
      </w:r>
      <w:r w:rsidRPr="007110B8">
        <w:rPr>
          <w:b/>
          <w:bCs/>
          <w:iCs/>
        </w:rPr>
        <w:t xml:space="preserve"> </w:t>
      </w:r>
    </w:p>
    <w:p w14:paraId="0DA116CD" w14:textId="77777777" w:rsidR="00F2799B" w:rsidRDefault="00F2799B" w:rsidP="00F2799B">
      <w:pPr>
        <w:ind w:left="1204" w:hanging="1204"/>
        <w:jc w:val="both"/>
        <w:rPr>
          <w:b/>
          <w:bCs/>
          <w:iCs/>
        </w:rPr>
      </w:pPr>
      <w:r w:rsidRPr="006B5F90">
        <w:rPr>
          <w:b/>
          <w:bCs/>
          <w:iCs/>
        </w:rPr>
        <w:t xml:space="preserve">Proposal </w:t>
      </w:r>
      <w:r>
        <w:rPr>
          <w:b/>
          <w:bCs/>
          <w:iCs/>
        </w:rPr>
        <w:t>6</w:t>
      </w:r>
      <w:r w:rsidRPr="007110B8">
        <w:rPr>
          <w:b/>
          <w:bCs/>
          <w:iCs/>
        </w:rPr>
        <w:t xml:space="preserve">: </w:t>
      </w:r>
      <w:r>
        <w:rPr>
          <w:b/>
          <w:bCs/>
          <w:iCs/>
        </w:rPr>
        <w:t>If RAN2 maintains the position with optional subgrouping capabilities, use one of two methods for the scenarios in which NW configures a subgrouping method not supported by the UE:</w:t>
      </w:r>
    </w:p>
    <w:p w14:paraId="77F47748" w14:textId="77777777" w:rsidR="00F2799B" w:rsidRPr="00841103" w:rsidRDefault="00F2799B" w:rsidP="00F2799B">
      <w:pPr>
        <w:pStyle w:val="ListParagraph"/>
        <w:numPr>
          <w:ilvl w:val="0"/>
          <w:numId w:val="21"/>
        </w:numPr>
        <w:jc w:val="both"/>
        <w:rPr>
          <w:b/>
          <w:bCs/>
          <w:iCs/>
        </w:rPr>
      </w:pPr>
      <w:r w:rsidRPr="00841103">
        <w:rPr>
          <w:b/>
          <w:bCs/>
          <w:iCs/>
        </w:rPr>
        <w:t>The UE wakes up at the PO in case of PEI reception (CRC match), irrespective of the PEI contents.</w:t>
      </w:r>
    </w:p>
    <w:p w14:paraId="789109ED" w14:textId="77777777" w:rsidR="00F2799B" w:rsidRPr="00841103" w:rsidRDefault="00F2799B" w:rsidP="00F2799B">
      <w:pPr>
        <w:pStyle w:val="ListParagraph"/>
        <w:numPr>
          <w:ilvl w:val="0"/>
          <w:numId w:val="21"/>
        </w:numPr>
        <w:jc w:val="both"/>
        <w:rPr>
          <w:b/>
          <w:bCs/>
          <w:iCs/>
        </w:rPr>
      </w:pPr>
      <w:r w:rsidRPr="00841103">
        <w:rPr>
          <w:b/>
          <w:bCs/>
          <w:iCs/>
        </w:rPr>
        <w:t>The UE always wakes up at the PO.</w:t>
      </w:r>
    </w:p>
    <w:p w14:paraId="6F36C434" w14:textId="77777777" w:rsidR="00F2799B" w:rsidRPr="007110B8" w:rsidRDefault="00F2799B" w:rsidP="00F2799B">
      <w:pPr>
        <w:ind w:left="1134" w:hanging="1134"/>
        <w:rPr>
          <w:b/>
          <w:bCs/>
          <w:lang w:val="en-GB" w:eastAsia="zh-CN"/>
        </w:rPr>
      </w:pPr>
      <w:r>
        <w:rPr>
          <w:b/>
          <w:bCs/>
          <w:lang w:val="en-GB" w:eastAsia="zh-CN"/>
        </w:rPr>
        <w:lastRenderedPageBreak/>
        <w:t>Proposal 9</w:t>
      </w:r>
      <w:r w:rsidRPr="007110B8">
        <w:rPr>
          <w:b/>
          <w:bCs/>
          <w:lang w:val="en-GB" w:eastAsia="zh-CN"/>
        </w:rPr>
        <w:t xml:space="preserve">: </w:t>
      </w:r>
      <w:r>
        <w:rPr>
          <w:b/>
          <w:bCs/>
          <w:lang w:val="en-GB" w:eastAsia="zh-CN"/>
        </w:rPr>
        <w:t>Ask RAN3 to discuss the inclusion of UE Radio Capability for Paging over the F1 interface so that the gNB-DU knows whether to transmit PEI before a PO</w:t>
      </w:r>
      <w:r w:rsidRPr="007110B8">
        <w:rPr>
          <w:b/>
          <w:bCs/>
          <w:lang w:val="en-GB" w:eastAsia="zh-CN"/>
        </w:rPr>
        <w:t>.</w:t>
      </w:r>
    </w:p>
    <w:p w14:paraId="63DE038A" w14:textId="3F5C8E45" w:rsidR="006B06A2" w:rsidRPr="00C81EC4" w:rsidRDefault="00F2799B" w:rsidP="00F2799B">
      <w:pPr>
        <w:rPr>
          <w:b/>
          <w:bCs/>
          <w:iCs/>
        </w:rPr>
      </w:pPr>
      <w:r w:rsidRPr="00C81EC4">
        <w:rPr>
          <w:b/>
          <w:bCs/>
          <w:iCs/>
        </w:rPr>
        <w:t xml:space="preserve">Proposal </w:t>
      </w:r>
      <w:r>
        <w:rPr>
          <w:b/>
          <w:bCs/>
          <w:iCs/>
        </w:rPr>
        <w:t>10</w:t>
      </w:r>
      <w:r w:rsidRPr="00C81EC4">
        <w:rPr>
          <w:b/>
          <w:bCs/>
          <w:iCs/>
        </w:rPr>
        <w:t xml:space="preserve">: </w:t>
      </w:r>
      <w:r>
        <w:rPr>
          <w:b/>
          <w:bCs/>
          <w:iCs/>
        </w:rPr>
        <w:t>If configured by the NW,</w:t>
      </w:r>
      <w:r w:rsidRPr="00C81EC4">
        <w:rPr>
          <w:b/>
          <w:bCs/>
          <w:iCs/>
        </w:rPr>
        <w:t xml:space="preserve"> </w:t>
      </w:r>
      <w:r>
        <w:rPr>
          <w:b/>
          <w:bCs/>
          <w:iCs/>
        </w:rPr>
        <w:t xml:space="preserve">UE indicates whether </w:t>
      </w:r>
      <w:r w:rsidRPr="00C81EC4">
        <w:rPr>
          <w:b/>
          <w:bCs/>
          <w:iCs/>
        </w:rPr>
        <w:t>PEI</w:t>
      </w:r>
      <w:r>
        <w:rPr>
          <w:b/>
          <w:bCs/>
          <w:iCs/>
        </w:rPr>
        <w:t xml:space="preserve"> is currently useful for the UE</w:t>
      </w:r>
      <w:r w:rsidR="00CB533B">
        <w:rPr>
          <w:b/>
          <w:bCs/>
          <w:iCs/>
        </w:rPr>
        <w:t>.</w:t>
      </w:r>
    </w:p>
    <w:p w14:paraId="5A15FD36" w14:textId="77777777" w:rsidR="009D725A" w:rsidRDefault="009D725A" w:rsidP="009D725A">
      <w:pPr>
        <w:pStyle w:val="Heading1"/>
        <w:rPr>
          <w:noProof/>
        </w:rPr>
      </w:pPr>
      <w:r>
        <w:rPr>
          <w:noProof/>
        </w:rPr>
        <w:t>References</w:t>
      </w:r>
      <w:bookmarkEnd w:id="6"/>
    </w:p>
    <w:p w14:paraId="2FA9FD6F" w14:textId="03D04573" w:rsidR="000B657B" w:rsidRPr="008818B9" w:rsidRDefault="00CB533B"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1" w:history="1">
        <w:r w:rsidR="005F2260">
          <w:rPr>
            <w:rStyle w:val="Hyperlink"/>
            <w:rFonts w:cs="Arial"/>
            <w:b/>
            <w:bCs/>
            <w:sz w:val="16"/>
            <w:szCs w:val="16"/>
          </w:rPr>
          <w:t>R1-2200780</w:t>
        </w:r>
      </w:hyperlink>
      <w:r w:rsidR="005F2260">
        <w:rPr>
          <w:rFonts w:cs="Arial"/>
          <w:b/>
          <w:bCs/>
          <w:color w:val="0000FF"/>
          <w:sz w:val="16"/>
          <w:szCs w:val="16"/>
          <w:u w:val="single"/>
        </w:rPr>
        <w:t xml:space="preserve"> </w:t>
      </w:r>
      <w:r w:rsidR="000B657B" w:rsidRPr="008818B9">
        <w:rPr>
          <w:rFonts w:cs="Arial"/>
          <w:sz w:val="16"/>
          <w:szCs w:val="16"/>
          <w:lang w:val="de-DE"/>
        </w:rPr>
        <w:t>Updated RAN1 UE features list for Rel-17 NR after RAN1 #107</w:t>
      </w:r>
      <w:r w:rsidR="008818B9" w:rsidRPr="008818B9">
        <w:rPr>
          <w:rFonts w:cs="Arial"/>
          <w:sz w:val="16"/>
          <w:szCs w:val="16"/>
          <w:lang w:val="de-DE"/>
        </w:rPr>
        <w:t>bis</w:t>
      </w:r>
      <w:r w:rsidR="000B657B" w:rsidRPr="008818B9">
        <w:rPr>
          <w:rFonts w:cs="Arial"/>
          <w:sz w:val="16"/>
          <w:szCs w:val="16"/>
          <w:lang w:val="de-DE"/>
        </w:rPr>
        <w:t>-e, AT&amp;T</w:t>
      </w:r>
      <w:r w:rsidR="008818B9" w:rsidRPr="008818B9">
        <w:rPr>
          <w:rFonts w:cs="Arial"/>
          <w:sz w:val="16"/>
          <w:szCs w:val="16"/>
          <w:lang w:val="de-DE"/>
        </w:rPr>
        <w:t>, NTT DOCOMO, INC.</w:t>
      </w:r>
    </w:p>
    <w:p w14:paraId="49A01488" w14:textId="685D2989" w:rsidR="00006A1E" w:rsidRPr="0062534A" w:rsidRDefault="00006A1E" w:rsidP="0062534A">
      <w:pPr>
        <w:rPr>
          <w:lang w:val="en-GB" w:eastAsia="zh-CN"/>
        </w:rPr>
      </w:pPr>
    </w:p>
    <w:sectPr w:rsidR="00006A1E" w:rsidRPr="0062534A"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8199D" w14:textId="77777777" w:rsidR="00A20A10" w:rsidRDefault="00A20A10">
      <w:r>
        <w:separator/>
      </w:r>
    </w:p>
  </w:endnote>
  <w:endnote w:type="continuationSeparator" w:id="0">
    <w:p w14:paraId="315E6D08" w14:textId="77777777" w:rsidR="00A20A10" w:rsidRDefault="00A20A10">
      <w:r>
        <w:continuationSeparator/>
      </w:r>
    </w:p>
  </w:endnote>
  <w:endnote w:type="continuationNotice" w:id="1">
    <w:p w14:paraId="4E41693E" w14:textId="77777777" w:rsidR="00A20A10" w:rsidRDefault="00A20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7110B8" w:rsidRDefault="007110B8"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FC873" w14:textId="77777777" w:rsidR="00A20A10" w:rsidRDefault="00A20A10">
      <w:r>
        <w:separator/>
      </w:r>
    </w:p>
  </w:footnote>
  <w:footnote w:type="continuationSeparator" w:id="0">
    <w:p w14:paraId="21CDC8B8" w14:textId="77777777" w:rsidR="00A20A10" w:rsidRDefault="00A20A10">
      <w:r>
        <w:continuationSeparator/>
      </w:r>
    </w:p>
  </w:footnote>
  <w:footnote w:type="continuationNotice" w:id="1">
    <w:p w14:paraId="255DCEAD" w14:textId="77777777" w:rsidR="00A20A10" w:rsidRDefault="00A20A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B67AA"/>
    <w:multiLevelType w:val="hybridMultilevel"/>
    <w:tmpl w:val="0DEEC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70D82"/>
    <w:multiLevelType w:val="hybridMultilevel"/>
    <w:tmpl w:val="D7FA2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C25CE"/>
    <w:multiLevelType w:val="hybridMultilevel"/>
    <w:tmpl w:val="0204B4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258D0"/>
    <w:multiLevelType w:val="hybridMultilevel"/>
    <w:tmpl w:val="C13A5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D055A"/>
    <w:multiLevelType w:val="hybridMultilevel"/>
    <w:tmpl w:val="0A84BC38"/>
    <w:lvl w:ilvl="0" w:tplc="680C0C62">
      <w:start w:val="1"/>
      <w:numFmt w:val="bullet"/>
      <w:lvlText w:val="›"/>
      <w:lvlJc w:val="left"/>
      <w:pPr>
        <w:tabs>
          <w:tab w:val="num" w:pos="720"/>
        </w:tabs>
        <w:ind w:left="720" w:hanging="360"/>
      </w:pPr>
      <w:rPr>
        <w:rFonts w:ascii="Arial" w:hAnsi="Arial" w:hint="default"/>
      </w:rPr>
    </w:lvl>
    <w:lvl w:ilvl="1" w:tplc="48E26C5E">
      <w:numFmt w:val="bullet"/>
      <w:lvlText w:val="–"/>
      <w:lvlJc w:val="left"/>
      <w:pPr>
        <w:tabs>
          <w:tab w:val="num" w:pos="1440"/>
        </w:tabs>
        <w:ind w:left="1440" w:hanging="360"/>
      </w:pPr>
      <w:rPr>
        <w:rFonts w:ascii="Ericsson Capital TT" w:hAnsi="Ericsson Capital TT" w:hint="default"/>
      </w:rPr>
    </w:lvl>
    <w:lvl w:ilvl="2" w:tplc="B57CC28C">
      <w:numFmt w:val="bullet"/>
      <w:lvlText w:val="›"/>
      <w:lvlJc w:val="left"/>
      <w:pPr>
        <w:tabs>
          <w:tab w:val="num" w:pos="2160"/>
        </w:tabs>
        <w:ind w:left="2160" w:hanging="360"/>
      </w:pPr>
      <w:rPr>
        <w:rFonts w:ascii="Ericsson Capital TT" w:hAnsi="Ericsson Capital TT" w:hint="default"/>
      </w:rPr>
    </w:lvl>
    <w:lvl w:ilvl="3" w:tplc="EE2CC066" w:tentative="1">
      <w:start w:val="1"/>
      <w:numFmt w:val="bullet"/>
      <w:lvlText w:val="›"/>
      <w:lvlJc w:val="left"/>
      <w:pPr>
        <w:tabs>
          <w:tab w:val="num" w:pos="2880"/>
        </w:tabs>
        <w:ind w:left="2880" w:hanging="360"/>
      </w:pPr>
      <w:rPr>
        <w:rFonts w:ascii="Arial" w:hAnsi="Arial" w:hint="default"/>
      </w:rPr>
    </w:lvl>
    <w:lvl w:ilvl="4" w:tplc="7EBA0396" w:tentative="1">
      <w:start w:val="1"/>
      <w:numFmt w:val="bullet"/>
      <w:lvlText w:val="›"/>
      <w:lvlJc w:val="left"/>
      <w:pPr>
        <w:tabs>
          <w:tab w:val="num" w:pos="3600"/>
        </w:tabs>
        <w:ind w:left="3600" w:hanging="360"/>
      </w:pPr>
      <w:rPr>
        <w:rFonts w:ascii="Arial" w:hAnsi="Arial" w:hint="default"/>
      </w:rPr>
    </w:lvl>
    <w:lvl w:ilvl="5" w:tplc="04488866" w:tentative="1">
      <w:start w:val="1"/>
      <w:numFmt w:val="bullet"/>
      <w:lvlText w:val="›"/>
      <w:lvlJc w:val="left"/>
      <w:pPr>
        <w:tabs>
          <w:tab w:val="num" w:pos="4320"/>
        </w:tabs>
        <w:ind w:left="4320" w:hanging="360"/>
      </w:pPr>
      <w:rPr>
        <w:rFonts w:ascii="Arial" w:hAnsi="Arial" w:hint="default"/>
      </w:rPr>
    </w:lvl>
    <w:lvl w:ilvl="6" w:tplc="2A86AF04" w:tentative="1">
      <w:start w:val="1"/>
      <w:numFmt w:val="bullet"/>
      <w:lvlText w:val="›"/>
      <w:lvlJc w:val="left"/>
      <w:pPr>
        <w:tabs>
          <w:tab w:val="num" w:pos="5040"/>
        </w:tabs>
        <w:ind w:left="5040" w:hanging="360"/>
      </w:pPr>
      <w:rPr>
        <w:rFonts w:ascii="Arial" w:hAnsi="Arial" w:hint="default"/>
      </w:rPr>
    </w:lvl>
    <w:lvl w:ilvl="7" w:tplc="B19898D2" w:tentative="1">
      <w:start w:val="1"/>
      <w:numFmt w:val="bullet"/>
      <w:lvlText w:val="›"/>
      <w:lvlJc w:val="left"/>
      <w:pPr>
        <w:tabs>
          <w:tab w:val="num" w:pos="5760"/>
        </w:tabs>
        <w:ind w:left="5760" w:hanging="360"/>
      </w:pPr>
      <w:rPr>
        <w:rFonts w:ascii="Arial" w:hAnsi="Arial" w:hint="default"/>
      </w:rPr>
    </w:lvl>
    <w:lvl w:ilvl="8" w:tplc="39087A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E179F8"/>
    <w:multiLevelType w:val="hybridMultilevel"/>
    <w:tmpl w:val="D6DAFDB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2E053D01"/>
    <w:multiLevelType w:val="hybridMultilevel"/>
    <w:tmpl w:val="18AE2360"/>
    <w:lvl w:ilvl="0" w:tplc="6BA65A1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E82082"/>
    <w:multiLevelType w:val="hybridMultilevel"/>
    <w:tmpl w:val="9B50DFFE"/>
    <w:lvl w:ilvl="0" w:tplc="ACBAEBBC">
      <w:start w:val="1"/>
      <w:numFmt w:val="bullet"/>
      <w:lvlText w:val=""/>
      <w:lvlJc w:val="left"/>
      <w:pPr>
        <w:tabs>
          <w:tab w:val="num" w:pos="720"/>
        </w:tabs>
        <w:ind w:left="720" w:hanging="360"/>
      </w:pPr>
      <w:rPr>
        <w:rFonts w:ascii="Wingdings" w:hAnsi="Wingdings" w:hint="default"/>
      </w:rPr>
    </w:lvl>
    <w:lvl w:ilvl="1" w:tplc="461C17BE">
      <w:start w:val="1"/>
      <w:numFmt w:val="bullet"/>
      <w:lvlText w:val=""/>
      <w:lvlJc w:val="left"/>
      <w:pPr>
        <w:tabs>
          <w:tab w:val="num" w:pos="1440"/>
        </w:tabs>
        <w:ind w:left="1440" w:hanging="360"/>
      </w:pPr>
      <w:rPr>
        <w:rFonts w:ascii="Wingdings" w:hAnsi="Wingdings" w:hint="default"/>
      </w:rPr>
    </w:lvl>
    <w:lvl w:ilvl="2" w:tplc="4636DBF8" w:tentative="1">
      <w:start w:val="1"/>
      <w:numFmt w:val="bullet"/>
      <w:lvlText w:val=""/>
      <w:lvlJc w:val="left"/>
      <w:pPr>
        <w:tabs>
          <w:tab w:val="num" w:pos="2160"/>
        </w:tabs>
        <w:ind w:left="2160" w:hanging="360"/>
      </w:pPr>
      <w:rPr>
        <w:rFonts w:ascii="Wingdings" w:hAnsi="Wingdings" w:hint="default"/>
      </w:rPr>
    </w:lvl>
    <w:lvl w:ilvl="3" w:tplc="32E285A8" w:tentative="1">
      <w:start w:val="1"/>
      <w:numFmt w:val="bullet"/>
      <w:lvlText w:val=""/>
      <w:lvlJc w:val="left"/>
      <w:pPr>
        <w:tabs>
          <w:tab w:val="num" w:pos="2880"/>
        </w:tabs>
        <w:ind w:left="2880" w:hanging="360"/>
      </w:pPr>
      <w:rPr>
        <w:rFonts w:ascii="Wingdings" w:hAnsi="Wingdings" w:hint="default"/>
      </w:rPr>
    </w:lvl>
    <w:lvl w:ilvl="4" w:tplc="1C3C9EA2" w:tentative="1">
      <w:start w:val="1"/>
      <w:numFmt w:val="bullet"/>
      <w:lvlText w:val=""/>
      <w:lvlJc w:val="left"/>
      <w:pPr>
        <w:tabs>
          <w:tab w:val="num" w:pos="3600"/>
        </w:tabs>
        <w:ind w:left="3600" w:hanging="360"/>
      </w:pPr>
      <w:rPr>
        <w:rFonts w:ascii="Wingdings" w:hAnsi="Wingdings" w:hint="default"/>
      </w:rPr>
    </w:lvl>
    <w:lvl w:ilvl="5" w:tplc="515803F4" w:tentative="1">
      <w:start w:val="1"/>
      <w:numFmt w:val="bullet"/>
      <w:lvlText w:val=""/>
      <w:lvlJc w:val="left"/>
      <w:pPr>
        <w:tabs>
          <w:tab w:val="num" w:pos="4320"/>
        </w:tabs>
        <w:ind w:left="4320" w:hanging="360"/>
      </w:pPr>
      <w:rPr>
        <w:rFonts w:ascii="Wingdings" w:hAnsi="Wingdings" w:hint="default"/>
      </w:rPr>
    </w:lvl>
    <w:lvl w:ilvl="6" w:tplc="E3720A00" w:tentative="1">
      <w:start w:val="1"/>
      <w:numFmt w:val="bullet"/>
      <w:lvlText w:val=""/>
      <w:lvlJc w:val="left"/>
      <w:pPr>
        <w:tabs>
          <w:tab w:val="num" w:pos="5040"/>
        </w:tabs>
        <w:ind w:left="5040" w:hanging="360"/>
      </w:pPr>
      <w:rPr>
        <w:rFonts w:ascii="Wingdings" w:hAnsi="Wingdings" w:hint="default"/>
      </w:rPr>
    </w:lvl>
    <w:lvl w:ilvl="7" w:tplc="0A3613A6" w:tentative="1">
      <w:start w:val="1"/>
      <w:numFmt w:val="bullet"/>
      <w:lvlText w:val=""/>
      <w:lvlJc w:val="left"/>
      <w:pPr>
        <w:tabs>
          <w:tab w:val="num" w:pos="5760"/>
        </w:tabs>
        <w:ind w:left="5760" w:hanging="360"/>
      </w:pPr>
      <w:rPr>
        <w:rFonts w:ascii="Wingdings" w:hAnsi="Wingdings" w:hint="default"/>
      </w:rPr>
    </w:lvl>
    <w:lvl w:ilvl="8" w:tplc="122A51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DF33C7"/>
    <w:multiLevelType w:val="hybridMultilevel"/>
    <w:tmpl w:val="1DBE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C41D69"/>
    <w:multiLevelType w:val="hybridMultilevel"/>
    <w:tmpl w:val="D5943448"/>
    <w:lvl w:ilvl="0" w:tplc="ACBAEBBC">
      <w:start w:val="1"/>
      <w:numFmt w:val="bullet"/>
      <w:lvlText w:val=""/>
      <w:lvlJc w:val="left"/>
      <w:pPr>
        <w:tabs>
          <w:tab w:val="num" w:pos="720"/>
        </w:tabs>
        <w:ind w:left="720" w:hanging="360"/>
      </w:pPr>
      <w:rPr>
        <w:rFonts w:ascii="Wingdings" w:hAnsi="Wingdings" w:hint="default"/>
      </w:rPr>
    </w:lvl>
    <w:lvl w:ilvl="1" w:tplc="729406DC">
      <w:start w:val="1"/>
      <w:numFmt w:val="bullet"/>
      <w:lvlText w:val=""/>
      <w:lvlJc w:val="left"/>
      <w:pPr>
        <w:tabs>
          <w:tab w:val="num" w:pos="1440"/>
        </w:tabs>
        <w:ind w:left="1440" w:hanging="360"/>
      </w:pPr>
      <w:rPr>
        <w:rFonts w:ascii="Symbol" w:hAnsi="Symbol" w:hint="default"/>
        <w:b/>
        <w:i w:val="0"/>
        <w:color w:val="C45911" w:themeColor="accent2" w:themeShade="BF"/>
        <w:sz w:val="22"/>
      </w:rPr>
    </w:lvl>
    <w:lvl w:ilvl="2" w:tplc="4636DBF8" w:tentative="1">
      <w:start w:val="1"/>
      <w:numFmt w:val="bullet"/>
      <w:lvlText w:val=""/>
      <w:lvlJc w:val="left"/>
      <w:pPr>
        <w:tabs>
          <w:tab w:val="num" w:pos="2160"/>
        </w:tabs>
        <w:ind w:left="2160" w:hanging="360"/>
      </w:pPr>
      <w:rPr>
        <w:rFonts w:ascii="Wingdings" w:hAnsi="Wingdings" w:hint="default"/>
      </w:rPr>
    </w:lvl>
    <w:lvl w:ilvl="3" w:tplc="32E285A8" w:tentative="1">
      <w:start w:val="1"/>
      <w:numFmt w:val="bullet"/>
      <w:lvlText w:val=""/>
      <w:lvlJc w:val="left"/>
      <w:pPr>
        <w:tabs>
          <w:tab w:val="num" w:pos="2880"/>
        </w:tabs>
        <w:ind w:left="2880" w:hanging="360"/>
      </w:pPr>
      <w:rPr>
        <w:rFonts w:ascii="Wingdings" w:hAnsi="Wingdings" w:hint="default"/>
      </w:rPr>
    </w:lvl>
    <w:lvl w:ilvl="4" w:tplc="1C3C9EA2" w:tentative="1">
      <w:start w:val="1"/>
      <w:numFmt w:val="bullet"/>
      <w:lvlText w:val=""/>
      <w:lvlJc w:val="left"/>
      <w:pPr>
        <w:tabs>
          <w:tab w:val="num" w:pos="3600"/>
        </w:tabs>
        <w:ind w:left="3600" w:hanging="360"/>
      </w:pPr>
      <w:rPr>
        <w:rFonts w:ascii="Wingdings" w:hAnsi="Wingdings" w:hint="default"/>
      </w:rPr>
    </w:lvl>
    <w:lvl w:ilvl="5" w:tplc="515803F4" w:tentative="1">
      <w:start w:val="1"/>
      <w:numFmt w:val="bullet"/>
      <w:lvlText w:val=""/>
      <w:lvlJc w:val="left"/>
      <w:pPr>
        <w:tabs>
          <w:tab w:val="num" w:pos="4320"/>
        </w:tabs>
        <w:ind w:left="4320" w:hanging="360"/>
      </w:pPr>
      <w:rPr>
        <w:rFonts w:ascii="Wingdings" w:hAnsi="Wingdings" w:hint="default"/>
      </w:rPr>
    </w:lvl>
    <w:lvl w:ilvl="6" w:tplc="E3720A00" w:tentative="1">
      <w:start w:val="1"/>
      <w:numFmt w:val="bullet"/>
      <w:lvlText w:val=""/>
      <w:lvlJc w:val="left"/>
      <w:pPr>
        <w:tabs>
          <w:tab w:val="num" w:pos="5040"/>
        </w:tabs>
        <w:ind w:left="5040" w:hanging="360"/>
      </w:pPr>
      <w:rPr>
        <w:rFonts w:ascii="Wingdings" w:hAnsi="Wingdings" w:hint="default"/>
      </w:rPr>
    </w:lvl>
    <w:lvl w:ilvl="7" w:tplc="0A3613A6" w:tentative="1">
      <w:start w:val="1"/>
      <w:numFmt w:val="bullet"/>
      <w:lvlText w:val=""/>
      <w:lvlJc w:val="left"/>
      <w:pPr>
        <w:tabs>
          <w:tab w:val="num" w:pos="5760"/>
        </w:tabs>
        <w:ind w:left="5760" w:hanging="360"/>
      </w:pPr>
      <w:rPr>
        <w:rFonts w:ascii="Wingdings" w:hAnsi="Wingdings" w:hint="default"/>
      </w:rPr>
    </w:lvl>
    <w:lvl w:ilvl="8" w:tplc="122A51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5F1025"/>
    <w:multiLevelType w:val="hybridMultilevel"/>
    <w:tmpl w:val="3418D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47A229A"/>
    <w:multiLevelType w:val="hybridMultilevel"/>
    <w:tmpl w:val="3A4A8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85C1C8E"/>
    <w:multiLevelType w:val="hybridMultilevel"/>
    <w:tmpl w:val="0DEEC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CA213C"/>
    <w:multiLevelType w:val="hybridMultilevel"/>
    <w:tmpl w:val="9F561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7121E3"/>
    <w:multiLevelType w:val="hybridMultilevel"/>
    <w:tmpl w:val="8474D69C"/>
    <w:lvl w:ilvl="0" w:tplc="DE7CE5BC">
      <w:start w:val="1"/>
      <w:numFmt w:val="bullet"/>
      <w:pStyle w:val="Agreement"/>
      <w:lvlText w:val="Þ"/>
      <w:lvlJc w:val="left"/>
      <w:pPr>
        <w:tabs>
          <w:tab w:val="num" w:pos="-774"/>
        </w:tabs>
        <w:ind w:left="-774" w:hanging="360"/>
      </w:pPr>
      <w:rPr>
        <w:rFonts w:ascii="Symbol" w:hAnsi="Symbol" w:hint="default"/>
        <w:b/>
        <w:i w:val="0"/>
        <w:color w:val="C45911" w:themeColor="accent2" w:themeShade="BF"/>
        <w:sz w:val="22"/>
      </w:rPr>
    </w:lvl>
    <w:lvl w:ilvl="1" w:tplc="04090003">
      <w:start w:val="1"/>
      <w:numFmt w:val="bullet"/>
      <w:lvlText w:val="o"/>
      <w:lvlJc w:val="left"/>
      <w:pPr>
        <w:tabs>
          <w:tab w:val="num" w:pos="-6264"/>
        </w:tabs>
        <w:ind w:left="-6264" w:hanging="360"/>
      </w:pPr>
      <w:rPr>
        <w:rFonts w:ascii="Courier New" w:hAnsi="Courier New" w:cs="Courier New" w:hint="default"/>
      </w:rPr>
    </w:lvl>
    <w:lvl w:ilvl="2" w:tplc="04090005" w:tentative="1">
      <w:start w:val="1"/>
      <w:numFmt w:val="bullet"/>
      <w:lvlText w:val=""/>
      <w:lvlJc w:val="left"/>
      <w:pPr>
        <w:tabs>
          <w:tab w:val="num" w:pos="-5544"/>
        </w:tabs>
        <w:ind w:left="-5544" w:hanging="360"/>
      </w:pPr>
      <w:rPr>
        <w:rFonts w:ascii="Wingdings" w:hAnsi="Wingdings" w:hint="default"/>
      </w:rPr>
    </w:lvl>
    <w:lvl w:ilvl="3" w:tplc="04090001" w:tentative="1">
      <w:start w:val="1"/>
      <w:numFmt w:val="bullet"/>
      <w:lvlText w:val=""/>
      <w:lvlJc w:val="left"/>
      <w:pPr>
        <w:tabs>
          <w:tab w:val="num" w:pos="-4824"/>
        </w:tabs>
        <w:ind w:left="-482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cs="Courier New" w:hint="default"/>
      </w:rPr>
    </w:lvl>
    <w:lvl w:ilvl="5" w:tplc="04090005" w:tentative="1">
      <w:start w:val="1"/>
      <w:numFmt w:val="bullet"/>
      <w:lvlText w:val=""/>
      <w:lvlJc w:val="left"/>
      <w:pPr>
        <w:tabs>
          <w:tab w:val="num" w:pos="-3384"/>
        </w:tabs>
        <w:ind w:left="-3384" w:hanging="360"/>
      </w:pPr>
      <w:rPr>
        <w:rFonts w:ascii="Wingdings" w:hAnsi="Wingdings" w:hint="default"/>
      </w:rPr>
    </w:lvl>
    <w:lvl w:ilvl="6" w:tplc="04090001" w:tentative="1">
      <w:start w:val="1"/>
      <w:numFmt w:val="bullet"/>
      <w:lvlText w:val=""/>
      <w:lvlJc w:val="left"/>
      <w:pPr>
        <w:tabs>
          <w:tab w:val="num" w:pos="-2664"/>
        </w:tabs>
        <w:ind w:left="-2664" w:hanging="360"/>
      </w:pPr>
      <w:rPr>
        <w:rFonts w:ascii="Symbol" w:hAnsi="Symbol" w:hint="default"/>
      </w:rPr>
    </w:lvl>
    <w:lvl w:ilvl="7" w:tplc="04090003" w:tentative="1">
      <w:start w:val="1"/>
      <w:numFmt w:val="bullet"/>
      <w:lvlText w:val="o"/>
      <w:lvlJc w:val="left"/>
      <w:pPr>
        <w:tabs>
          <w:tab w:val="num" w:pos="-1944"/>
        </w:tabs>
        <w:ind w:left="-1944" w:hanging="360"/>
      </w:pPr>
      <w:rPr>
        <w:rFonts w:ascii="Courier New" w:hAnsi="Courier New" w:cs="Courier New" w:hint="default"/>
      </w:rPr>
    </w:lvl>
    <w:lvl w:ilvl="8" w:tplc="04090005" w:tentative="1">
      <w:start w:val="1"/>
      <w:numFmt w:val="bullet"/>
      <w:lvlText w:val=""/>
      <w:lvlJc w:val="left"/>
      <w:pPr>
        <w:tabs>
          <w:tab w:val="num" w:pos="-1224"/>
        </w:tabs>
        <w:ind w:left="-1224" w:hanging="360"/>
      </w:pPr>
      <w:rPr>
        <w:rFonts w:ascii="Wingdings" w:hAnsi="Wingdings" w:hint="default"/>
      </w:rPr>
    </w:lvl>
  </w:abstractNum>
  <w:abstractNum w:abstractNumId="17" w15:restartNumberingAfterBreak="0">
    <w:nsid w:val="6B712285"/>
    <w:multiLevelType w:val="hybridMultilevel"/>
    <w:tmpl w:val="1FAA1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E4B037A"/>
    <w:multiLevelType w:val="hybridMultilevel"/>
    <w:tmpl w:val="18AE2360"/>
    <w:lvl w:ilvl="0" w:tplc="6BA65A1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70146DC0"/>
    <w:multiLevelType w:val="hybridMultilevel"/>
    <w:tmpl w:val="9BC21240"/>
    <w:lvl w:ilvl="0" w:tplc="409A9E3A">
      <w:start w:val="1"/>
      <w:numFmt w:val="bulle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CB7CCB"/>
    <w:multiLevelType w:val="hybridMultilevel"/>
    <w:tmpl w:val="AE0E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7"/>
  </w:num>
  <w:num w:numId="4">
    <w:abstractNumId w:val="13"/>
  </w:num>
  <w:num w:numId="5">
    <w:abstractNumId w:val="20"/>
  </w:num>
  <w:num w:numId="6">
    <w:abstractNumId w:val="2"/>
  </w:num>
  <w:num w:numId="7">
    <w:abstractNumId w:val="1"/>
  </w:num>
  <w:num w:numId="8">
    <w:abstractNumId w:val="16"/>
  </w:num>
  <w:num w:numId="9">
    <w:abstractNumId w:val="4"/>
  </w:num>
  <w:num w:numId="10">
    <w:abstractNumId w:val="5"/>
  </w:num>
  <w:num w:numId="11">
    <w:abstractNumId w:val="3"/>
  </w:num>
  <w:num w:numId="12">
    <w:abstractNumId w:val="9"/>
  </w:num>
  <w:num w:numId="13">
    <w:abstractNumId w:val="15"/>
  </w:num>
  <w:num w:numId="14">
    <w:abstractNumId w:val="11"/>
  </w:num>
  <w:num w:numId="15">
    <w:abstractNumId w:val="8"/>
  </w:num>
  <w:num w:numId="16">
    <w:abstractNumId w:val="10"/>
  </w:num>
  <w:num w:numId="17">
    <w:abstractNumId w:val="19"/>
  </w:num>
  <w:num w:numId="18">
    <w:abstractNumId w:val="14"/>
  </w:num>
  <w:num w:numId="19">
    <w:abstractNumId w:val="0"/>
  </w:num>
  <w:num w:numId="20">
    <w:abstractNumId w:val="18"/>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1134"/>
  <w:characterSpacingControl w:val="doNotCompress"/>
  <w:hdrShapeDefaults>
    <o:shapedefaults v:ext="edit" spidmax="1228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A1E"/>
    <w:rsid w:val="00006CE2"/>
    <w:rsid w:val="00011902"/>
    <w:rsid w:val="00012285"/>
    <w:rsid w:val="00012536"/>
    <w:rsid w:val="00012DFF"/>
    <w:rsid w:val="00013C93"/>
    <w:rsid w:val="00020287"/>
    <w:rsid w:val="00020FFE"/>
    <w:rsid w:val="0002181B"/>
    <w:rsid w:val="00027BEA"/>
    <w:rsid w:val="000343D3"/>
    <w:rsid w:val="000362CF"/>
    <w:rsid w:val="0004162A"/>
    <w:rsid w:val="000464BA"/>
    <w:rsid w:val="00046FEB"/>
    <w:rsid w:val="0004760F"/>
    <w:rsid w:val="00047895"/>
    <w:rsid w:val="000516AF"/>
    <w:rsid w:val="00051E0B"/>
    <w:rsid w:val="00053403"/>
    <w:rsid w:val="00054991"/>
    <w:rsid w:val="000559F7"/>
    <w:rsid w:val="0005707A"/>
    <w:rsid w:val="00061674"/>
    <w:rsid w:val="00063945"/>
    <w:rsid w:val="00064C83"/>
    <w:rsid w:val="00064F64"/>
    <w:rsid w:val="000677EA"/>
    <w:rsid w:val="00067AE0"/>
    <w:rsid w:val="00070C3F"/>
    <w:rsid w:val="00073CFB"/>
    <w:rsid w:val="0007655C"/>
    <w:rsid w:val="00080B58"/>
    <w:rsid w:val="00080D29"/>
    <w:rsid w:val="00081027"/>
    <w:rsid w:val="0008138B"/>
    <w:rsid w:val="0008686B"/>
    <w:rsid w:val="00090EAF"/>
    <w:rsid w:val="000912D2"/>
    <w:rsid w:val="00093614"/>
    <w:rsid w:val="0009603A"/>
    <w:rsid w:val="000A0927"/>
    <w:rsid w:val="000A0C7F"/>
    <w:rsid w:val="000A20E0"/>
    <w:rsid w:val="000A360E"/>
    <w:rsid w:val="000A6A76"/>
    <w:rsid w:val="000A6F1F"/>
    <w:rsid w:val="000A7088"/>
    <w:rsid w:val="000A7328"/>
    <w:rsid w:val="000A787E"/>
    <w:rsid w:val="000A7927"/>
    <w:rsid w:val="000B2AED"/>
    <w:rsid w:val="000B47D4"/>
    <w:rsid w:val="000B593C"/>
    <w:rsid w:val="000B61C9"/>
    <w:rsid w:val="000B657B"/>
    <w:rsid w:val="000C0661"/>
    <w:rsid w:val="000C2CCE"/>
    <w:rsid w:val="000C3430"/>
    <w:rsid w:val="000C4330"/>
    <w:rsid w:val="000C6C63"/>
    <w:rsid w:val="000C7A2E"/>
    <w:rsid w:val="000D1253"/>
    <w:rsid w:val="000D2C35"/>
    <w:rsid w:val="000E2336"/>
    <w:rsid w:val="000E2DC8"/>
    <w:rsid w:val="000E3212"/>
    <w:rsid w:val="000E47A9"/>
    <w:rsid w:val="000E6807"/>
    <w:rsid w:val="000E72E8"/>
    <w:rsid w:val="000F1D3F"/>
    <w:rsid w:val="000F2D1B"/>
    <w:rsid w:val="00100EDB"/>
    <w:rsid w:val="00104ACF"/>
    <w:rsid w:val="00104B6A"/>
    <w:rsid w:val="00104C28"/>
    <w:rsid w:val="001065E3"/>
    <w:rsid w:val="001069AD"/>
    <w:rsid w:val="00106C7C"/>
    <w:rsid w:val="001119D7"/>
    <w:rsid w:val="00111AA3"/>
    <w:rsid w:val="00113632"/>
    <w:rsid w:val="00116F90"/>
    <w:rsid w:val="00116FBE"/>
    <w:rsid w:val="00116FEC"/>
    <w:rsid w:val="00120851"/>
    <w:rsid w:val="00120D47"/>
    <w:rsid w:val="00122AD2"/>
    <w:rsid w:val="00127D2C"/>
    <w:rsid w:val="001308CD"/>
    <w:rsid w:val="00130F86"/>
    <w:rsid w:val="001313F9"/>
    <w:rsid w:val="00131FBE"/>
    <w:rsid w:val="0013204C"/>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3FC"/>
    <w:rsid w:val="0015199E"/>
    <w:rsid w:val="00162928"/>
    <w:rsid w:val="00164147"/>
    <w:rsid w:val="00164767"/>
    <w:rsid w:val="001648FB"/>
    <w:rsid w:val="00164E9A"/>
    <w:rsid w:val="0016521E"/>
    <w:rsid w:val="001659F2"/>
    <w:rsid w:val="00172C20"/>
    <w:rsid w:val="00177C19"/>
    <w:rsid w:val="0018431E"/>
    <w:rsid w:val="001845B1"/>
    <w:rsid w:val="00191C5C"/>
    <w:rsid w:val="001924EE"/>
    <w:rsid w:val="00192610"/>
    <w:rsid w:val="00194E7F"/>
    <w:rsid w:val="001A0125"/>
    <w:rsid w:val="001A241E"/>
    <w:rsid w:val="001A3300"/>
    <w:rsid w:val="001A7903"/>
    <w:rsid w:val="001A7BB7"/>
    <w:rsid w:val="001B1926"/>
    <w:rsid w:val="001B241A"/>
    <w:rsid w:val="001B5A6D"/>
    <w:rsid w:val="001C0ADE"/>
    <w:rsid w:val="001C5FF5"/>
    <w:rsid w:val="001C6BCF"/>
    <w:rsid w:val="001D01C0"/>
    <w:rsid w:val="001D3E08"/>
    <w:rsid w:val="001D496A"/>
    <w:rsid w:val="001D5744"/>
    <w:rsid w:val="001D5EC7"/>
    <w:rsid w:val="001D6B6B"/>
    <w:rsid w:val="001E55EC"/>
    <w:rsid w:val="001E651A"/>
    <w:rsid w:val="001E6A9C"/>
    <w:rsid w:val="001F13E9"/>
    <w:rsid w:val="001F4971"/>
    <w:rsid w:val="001F5CA1"/>
    <w:rsid w:val="001F7D2A"/>
    <w:rsid w:val="002013B3"/>
    <w:rsid w:val="00203248"/>
    <w:rsid w:val="00207915"/>
    <w:rsid w:val="002114D0"/>
    <w:rsid w:val="00211629"/>
    <w:rsid w:val="00212767"/>
    <w:rsid w:val="002129BC"/>
    <w:rsid w:val="00215328"/>
    <w:rsid w:val="00215AB2"/>
    <w:rsid w:val="00217ECC"/>
    <w:rsid w:val="00225E2B"/>
    <w:rsid w:val="00226C55"/>
    <w:rsid w:val="0023429F"/>
    <w:rsid w:val="00236881"/>
    <w:rsid w:val="00236C23"/>
    <w:rsid w:val="00237DA0"/>
    <w:rsid w:val="00241371"/>
    <w:rsid w:val="00241971"/>
    <w:rsid w:val="002419CF"/>
    <w:rsid w:val="00243D82"/>
    <w:rsid w:val="00244267"/>
    <w:rsid w:val="002500A8"/>
    <w:rsid w:val="00250587"/>
    <w:rsid w:val="00253DE3"/>
    <w:rsid w:val="00255FD8"/>
    <w:rsid w:val="00260EC7"/>
    <w:rsid w:val="0026254D"/>
    <w:rsid w:val="00270154"/>
    <w:rsid w:val="002733D0"/>
    <w:rsid w:val="00273C32"/>
    <w:rsid w:val="00274E81"/>
    <w:rsid w:val="002764DD"/>
    <w:rsid w:val="00281BCA"/>
    <w:rsid w:val="00283532"/>
    <w:rsid w:val="00283E2E"/>
    <w:rsid w:val="00286831"/>
    <w:rsid w:val="0028711E"/>
    <w:rsid w:val="00287B78"/>
    <w:rsid w:val="00290477"/>
    <w:rsid w:val="002950E1"/>
    <w:rsid w:val="00295270"/>
    <w:rsid w:val="00296A1A"/>
    <w:rsid w:val="00296A94"/>
    <w:rsid w:val="00297106"/>
    <w:rsid w:val="002971AA"/>
    <w:rsid w:val="002974CD"/>
    <w:rsid w:val="002A0389"/>
    <w:rsid w:val="002A16F8"/>
    <w:rsid w:val="002A2E7B"/>
    <w:rsid w:val="002A36A8"/>
    <w:rsid w:val="002A42D0"/>
    <w:rsid w:val="002A685C"/>
    <w:rsid w:val="002A70F0"/>
    <w:rsid w:val="002B1EE7"/>
    <w:rsid w:val="002B6742"/>
    <w:rsid w:val="002C1EF6"/>
    <w:rsid w:val="002C2A84"/>
    <w:rsid w:val="002C4082"/>
    <w:rsid w:val="002C4DAC"/>
    <w:rsid w:val="002C6AEE"/>
    <w:rsid w:val="002D765B"/>
    <w:rsid w:val="002E0414"/>
    <w:rsid w:val="002E083F"/>
    <w:rsid w:val="002E1A79"/>
    <w:rsid w:val="002E4760"/>
    <w:rsid w:val="002F3825"/>
    <w:rsid w:val="002F4578"/>
    <w:rsid w:val="002F703D"/>
    <w:rsid w:val="003016C6"/>
    <w:rsid w:val="0030457B"/>
    <w:rsid w:val="00306D5D"/>
    <w:rsid w:val="00310765"/>
    <w:rsid w:val="00314A99"/>
    <w:rsid w:val="0031773A"/>
    <w:rsid w:val="00321A47"/>
    <w:rsid w:val="00322341"/>
    <w:rsid w:val="00324C91"/>
    <w:rsid w:val="0032761C"/>
    <w:rsid w:val="0033189C"/>
    <w:rsid w:val="00336C95"/>
    <w:rsid w:val="0034374B"/>
    <w:rsid w:val="003445B8"/>
    <w:rsid w:val="00352BFE"/>
    <w:rsid w:val="0035547C"/>
    <w:rsid w:val="00356439"/>
    <w:rsid w:val="00361092"/>
    <w:rsid w:val="00362607"/>
    <w:rsid w:val="003677CC"/>
    <w:rsid w:val="003730EF"/>
    <w:rsid w:val="0037552C"/>
    <w:rsid w:val="0037629E"/>
    <w:rsid w:val="0037719E"/>
    <w:rsid w:val="00383177"/>
    <w:rsid w:val="00387975"/>
    <w:rsid w:val="00393247"/>
    <w:rsid w:val="00395015"/>
    <w:rsid w:val="003A5C51"/>
    <w:rsid w:val="003A6163"/>
    <w:rsid w:val="003B13F3"/>
    <w:rsid w:val="003B5CD6"/>
    <w:rsid w:val="003B679A"/>
    <w:rsid w:val="003B6EF7"/>
    <w:rsid w:val="003C1556"/>
    <w:rsid w:val="003C1BB0"/>
    <w:rsid w:val="003C1C5D"/>
    <w:rsid w:val="003C50C2"/>
    <w:rsid w:val="003D09AA"/>
    <w:rsid w:val="003D0DDB"/>
    <w:rsid w:val="003D49F3"/>
    <w:rsid w:val="003D7733"/>
    <w:rsid w:val="003E3A4F"/>
    <w:rsid w:val="003E7AF9"/>
    <w:rsid w:val="003F1487"/>
    <w:rsid w:val="003F1522"/>
    <w:rsid w:val="003F191A"/>
    <w:rsid w:val="003F1C31"/>
    <w:rsid w:val="003F2284"/>
    <w:rsid w:val="003F30D6"/>
    <w:rsid w:val="003F697E"/>
    <w:rsid w:val="003F7F9E"/>
    <w:rsid w:val="00401136"/>
    <w:rsid w:val="00403769"/>
    <w:rsid w:val="00404067"/>
    <w:rsid w:val="00406447"/>
    <w:rsid w:val="004074EE"/>
    <w:rsid w:val="004077CE"/>
    <w:rsid w:val="00411AA3"/>
    <w:rsid w:val="00411F7D"/>
    <w:rsid w:val="00412CF8"/>
    <w:rsid w:val="004132AD"/>
    <w:rsid w:val="00413B0F"/>
    <w:rsid w:val="00415988"/>
    <w:rsid w:val="004163CF"/>
    <w:rsid w:val="0041785F"/>
    <w:rsid w:val="004228E6"/>
    <w:rsid w:val="00427C67"/>
    <w:rsid w:val="00432700"/>
    <w:rsid w:val="00432CCD"/>
    <w:rsid w:val="00432CE1"/>
    <w:rsid w:val="00434160"/>
    <w:rsid w:val="00434D5F"/>
    <w:rsid w:val="00434E88"/>
    <w:rsid w:val="0043515D"/>
    <w:rsid w:val="0043788C"/>
    <w:rsid w:val="00445733"/>
    <w:rsid w:val="00445F25"/>
    <w:rsid w:val="00445FD8"/>
    <w:rsid w:val="00446BDF"/>
    <w:rsid w:val="00447C05"/>
    <w:rsid w:val="00451134"/>
    <w:rsid w:val="00451A3A"/>
    <w:rsid w:val="00453E18"/>
    <w:rsid w:val="00455BAC"/>
    <w:rsid w:val="00455C91"/>
    <w:rsid w:val="00462E26"/>
    <w:rsid w:val="00464D01"/>
    <w:rsid w:val="00465DAE"/>
    <w:rsid w:val="004661AB"/>
    <w:rsid w:val="0047097D"/>
    <w:rsid w:val="00482878"/>
    <w:rsid w:val="0048287D"/>
    <w:rsid w:val="0048475F"/>
    <w:rsid w:val="00491794"/>
    <w:rsid w:val="00491971"/>
    <w:rsid w:val="00491C79"/>
    <w:rsid w:val="004976F2"/>
    <w:rsid w:val="004A5FD9"/>
    <w:rsid w:val="004A7071"/>
    <w:rsid w:val="004B0216"/>
    <w:rsid w:val="004B10DE"/>
    <w:rsid w:val="004B17E2"/>
    <w:rsid w:val="004B3A62"/>
    <w:rsid w:val="004B4D17"/>
    <w:rsid w:val="004B6AA1"/>
    <w:rsid w:val="004C1D7F"/>
    <w:rsid w:val="004C38C3"/>
    <w:rsid w:val="004C563D"/>
    <w:rsid w:val="004C7383"/>
    <w:rsid w:val="004C74AF"/>
    <w:rsid w:val="004D10CC"/>
    <w:rsid w:val="004D1CEB"/>
    <w:rsid w:val="004D3892"/>
    <w:rsid w:val="004D6C6F"/>
    <w:rsid w:val="004E002D"/>
    <w:rsid w:val="004E135B"/>
    <w:rsid w:val="004E26A8"/>
    <w:rsid w:val="004E2910"/>
    <w:rsid w:val="004E4610"/>
    <w:rsid w:val="004E4674"/>
    <w:rsid w:val="004E548A"/>
    <w:rsid w:val="004E7570"/>
    <w:rsid w:val="004F1052"/>
    <w:rsid w:val="004F149C"/>
    <w:rsid w:val="004F4854"/>
    <w:rsid w:val="004F4E67"/>
    <w:rsid w:val="004F6067"/>
    <w:rsid w:val="004F62E1"/>
    <w:rsid w:val="004F7EEB"/>
    <w:rsid w:val="0050109B"/>
    <w:rsid w:val="0050273A"/>
    <w:rsid w:val="00504ED9"/>
    <w:rsid w:val="00505AC7"/>
    <w:rsid w:val="005073E2"/>
    <w:rsid w:val="00507EA2"/>
    <w:rsid w:val="00510DAC"/>
    <w:rsid w:val="00513A0A"/>
    <w:rsid w:val="00514C2F"/>
    <w:rsid w:val="00516650"/>
    <w:rsid w:val="0051782B"/>
    <w:rsid w:val="00517B15"/>
    <w:rsid w:val="00517FD7"/>
    <w:rsid w:val="0052219A"/>
    <w:rsid w:val="00522CAB"/>
    <w:rsid w:val="005241C8"/>
    <w:rsid w:val="0052581A"/>
    <w:rsid w:val="005269DC"/>
    <w:rsid w:val="00527353"/>
    <w:rsid w:val="00532DB1"/>
    <w:rsid w:val="0054011D"/>
    <w:rsid w:val="00540FFC"/>
    <w:rsid w:val="00542513"/>
    <w:rsid w:val="005433FA"/>
    <w:rsid w:val="0054579F"/>
    <w:rsid w:val="00545B4A"/>
    <w:rsid w:val="00545B6C"/>
    <w:rsid w:val="00552732"/>
    <w:rsid w:val="00554C37"/>
    <w:rsid w:val="005550A8"/>
    <w:rsid w:val="00555E44"/>
    <w:rsid w:val="005575FA"/>
    <w:rsid w:val="00557AAC"/>
    <w:rsid w:val="00560550"/>
    <w:rsid w:val="00564D25"/>
    <w:rsid w:val="00566CF0"/>
    <w:rsid w:val="00567FFD"/>
    <w:rsid w:val="005716B0"/>
    <w:rsid w:val="0057505D"/>
    <w:rsid w:val="00575E8D"/>
    <w:rsid w:val="00577D3C"/>
    <w:rsid w:val="00583C42"/>
    <w:rsid w:val="00585607"/>
    <w:rsid w:val="00592B5F"/>
    <w:rsid w:val="00593BA2"/>
    <w:rsid w:val="00594CE5"/>
    <w:rsid w:val="005950C4"/>
    <w:rsid w:val="005A10D4"/>
    <w:rsid w:val="005A4001"/>
    <w:rsid w:val="005A43A4"/>
    <w:rsid w:val="005A5EB5"/>
    <w:rsid w:val="005B0E5B"/>
    <w:rsid w:val="005B4B64"/>
    <w:rsid w:val="005B7E9E"/>
    <w:rsid w:val="005C16E7"/>
    <w:rsid w:val="005C4644"/>
    <w:rsid w:val="005C65A3"/>
    <w:rsid w:val="005D1894"/>
    <w:rsid w:val="005D2FD4"/>
    <w:rsid w:val="005D4EEC"/>
    <w:rsid w:val="005D5F5A"/>
    <w:rsid w:val="005D6EA6"/>
    <w:rsid w:val="005E0137"/>
    <w:rsid w:val="005E02ED"/>
    <w:rsid w:val="005E42AD"/>
    <w:rsid w:val="005E5482"/>
    <w:rsid w:val="005E5ABC"/>
    <w:rsid w:val="005E6CA0"/>
    <w:rsid w:val="005E6F22"/>
    <w:rsid w:val="005F2260"/>
    <w:rsid w:val="005F2971"/>
    <w:rsid w:val="005F6999"/>
    <w:rsid w:val="005F7274"/>
    <w:rsid w:val="005F7968"/>
    <w:rsid w:val="00602B94"/>
    <w:rsid w:val="00602F9F"/>
    <w:rsid w:val="00603CCA"/>
    <w:rsid w:val="00604C08"/>
    <w:rsid w:val="00610534"/>
    <w:rsid w:val="0061135E"/>
    <w:rsid w:val="00614426"/>
    <w:rsid w:val="00620158"/>
    <w:rsid w:val="0062534A"/>
    <w:rsid w:val="00625E30"/>
    <w:rsid w:val="006300D7"/>
    <w:rsid w:val="00630BF2"/>
    <w:rsid w:val="0063204C"/>
    <w:rsid w:val="006326B2"/>
    <w:rsid w:val="006339DA"/>
    <w:rsid w:val="00634B5D"/>
    <w:rsid w:val="00636AB5"/>
    <w:rsid w:val="006375B6"/>
    <w:rsid w:val="00640449"/>
    <w:rsid w:val="00641176"/>
    <w:rsid w:val="00643F10"/>
    <w:rsid w:val="006449C9"/>
    <w:rsid w:val="00645A75"/>
    <w:rsid w:val="006469B8"/>
    <w:rsid w:val="00647461"/>
    <w:rsid w:val="006474D3"/>
    <w:rsid w:val="00647526"/>
    <w:rsid w:val="0065698D"/>
    <w:rsid w:val="00657C7A"/>
    <w:rsid w:val="0066119A"/>
    <w:rsid w:val="00664529"/>
    <w:rsid w:val="00666EB6"/>
    <w:rsid w:val="006677BB"/>
    <w:rsid w:val="0067047D"/>
    <w:rsid w:val="006731F3"/>
    <w:rsid w:val="0067334E"/>
    <w:rsid w:val="006763E9"/>
    <w:rsid w:val="00676DAD"/>
    <w:rsid w:val="00682662"/>
    <w:rsid w:val="00683AFD"/>
    <w:rsid w:val="00684A8C"/>
    <w:rsid w:val="00685EC0"/>
    <w:rsid w:val="00690466"/>
    <w:rsid w:val="00691624"/>
    <w:rsid w:val="00691AA7"/>
    <w:rsid w:val="0069411B"/>
    <w:rsid w:val="006949D1"/>
    <w:rsid w:val="00696B8C"/>
    <w:rsid w:val="00697F8D"/>
    <w:rsid w:val="006A3181"/>
    <w:rsid w:val="006A38F9"/>
    <w:rsid w:val="006A39AE"/>
    <w:rsid w:val="006A6639"/>
    <w:rsid w:val="006A720F"/>
    <w:rsid w:val="006B06A2"/>
    <w:rsid w:val="006B5B69"/>
    <w:rsid w:val="006B5BD4"/>
    <w:rsid w:val="006B5F90"/>
    <w:rsid w:val="006B6B15"/>
    <w:rsid w:val="006C20C4"/>
    <w:rsid w:val="006C59D8"/>
    <w:rsid w:val="006C7C34"/>
    <w:rsid w:val="006D151A"/>
    <w:rsid w:val="006D1813"/>
    <w:rsid w:val="006D4206"/>
    <w:rsid w:val="006D5962"/>
    <w:rsid w:val="006D6A65"/>
    <w:rsid w:val="006D77F9"/>
    <w:rsid w:val="006E27D1"/>
    <w:rsid w:val="006E4ADC"/>
    <w:rsid w:val="006E530B"/>
    <w:rsid w:val="006E5B76"/>
    <w:rsid w:val="006E7D43"/>
    <w:rsid w:val="006F0F99"/>
    <w:rsid w:val="006F2930"/>
    <w:rsid w:val="006F30A0"/>
    <w:rsid w:val="006F57F4"/>
    <w:rsid w:val="00700CBE"/>
    <w:rsid w:val="0070422F"/>
    <w:rsid w:val="00704408"/>
    <w:rsid w:val="007045A8"/>
    <w:rsid w:val="007110B8"/>
    <w:rsid w:val="00712CDD"/>
    <w:rsid w:val="00712DC4"/>
    <w:rsid w:val="00715512"/>
    <w:rsid w:val="0071555E"/>
    <w:rsid w:val="00717D75"/>
    <w:rsid w:val="007215C8"/>
    <w:rsid w:val="0072243C"/>
    <w:rsid w:val="00723F49"/>
    <w:rsid w:val="00725A44"/>
    <w:rsid w:val="007269ED"/>
    <w:rsid w:val="00730790"/>
    <w:rsid w:val="0073304A"/>
    <w:rsid w:val="00733FF8"/>
    <w:rsid w:val="00734B93"/>
    <w:rsid w:val="00734D32"/>
    <w:rsid w:val="00740114"/>
    <w:rsid w:val="007408D3"/>
    <w:rsid w:val="00745917"/>
    <w:rsid w:val="00746AD3"/>
    <w:rsid w:val="00750D3B"/>
    <w:rsid w:val="00755199"/>
    <w:rsid w:val="00757912"/>
    <w:rsid w:val="00760387"/>
    <w:rsid w:val="00764CCE"/>
    <w:rsid w:val="00767213"/>
    <w:rsid w:val="0077286C"/>
    <w:rsid w:val="00773DC4"/>
    <w:rsid w:val="00776F25"/>
    <w:rsid w:val="00782CAD"/>
    <w:rsid w:val="00782D8E"/>
    <w:rsid w:val="007837C7"/>
    <w:rsid w:val="00787E14"/>
    <w:rsid w:val="0079034B"/>
    <w:rsid w:val="007906DC"/>
    <w:rsid w:val="00790F99"/>
    <w:rsid w:val="00795187"/>
    <w:rsid w:val="00795C6E"/>
    <w:rsid w:val="0079708B"/>
    <w:rsid w:val="00797CEE"/>
    <w:rsid w:val="007A7AB2"/>
    <w:rsid w:val="007B149C"/>
    <w:rsid w:val="007B23E4"/>
    <w:rsid w:val="007B2C5E"/>
    <w:rsid w:val="007B303B"/>
    <w:rsid w:val="007C0B18"/>
    <w:rsid w:val="007C2EF2"/>
    <w:rsid w:val="007C3A18"/>
    <w:rsid w:val="007C3A69"/>
    <w:rsid w:val="007C3BC8"/>
    <w:rsid w:val="007C4779"/>
    <w:rsid w:val="007C51DD"/>
    <w:rsid w:val="007C52AF"/>
    <w:rsid w:val="007C61E5"/>
    <w:rsid w:val="007D13B6"/>
    <w:rsid w:val="007E0428"/>
    <w:rsid w:val="007E0620"/>
    <w:rsid w:val="007E0821"/>
    <w:rsid w:val="007E264A"/>
    <w:rsid w:val="007E2E1A"/>
    <w:rsid w:val="007E4883"/>
    <w:rsid w:val="007F1E59"/>
    <w:rsid w:val="007F20CE"/>
    <w:rsid w:val="007F332D"/>
    <w:rsid w:val="007F4DC3"/>
    <w:rsid w:val="007F72E1"/>
    <w:rsid w:val="008016A0"/>
    <w:rsid w:val="00805A8C"/>
    <w:rsid w:val="0081079F"/>
    <w:rsid w:val="00811F16"/>
    <w:rsid w:val="00812433"/>
    <w:rsid w:val="008165F9"/>
    <w:rsid w:val="00817FB2"/>
    <w:rsid w:val="00825DCB"/>
    <w:rsid w:val="00830043"/>
    <w:rsid w:val="00830CAD"/>
    <w:rsid w:val="00834DE3"/>
    <w:rsid w:val="00841103"/>
    <w:rsid w:val="00842FC0"/>
    <w:rsid w:val="008440E1"/>
    <w:rsid w:val="00845C8A"/>
    <w:rsid w:val="00845DEA"/>
    <w:rsid w:val="00846390"/>
    <w:rsid w:val="0084641A"/>
    <w:rsid w:val="00847093"/>
    <w:rsid w:val="008573EC"/>
    <w:rsid w:val="008576A8"/>
    <w:rsid w:val="00860EAD"/>
    <w:rsid w:val="00862875"/>
    <w:rsid w:val="00862A5F"/>
    <w:rsid w:val="00863324"/>
    <w:rsid w:val="00864238"/>
    <w:rsid w:val="008645CC"/>
    <w:rsid w:val="008751B4"/>
    <w:rsid w:val="00876ABB"/>
    <w:rsid w:val="008818B9"/>
    <w:rsid w:val="00882664"/>
    <w:rsid w:val="00887CFE"/>
    <w:rsid w:val="00887E36"/>
    <w:rsid w:val="00887F8A"/>
    <w:rsid w:val="00891598"/>
    <w:rsid w:val="00892BE1"/>
    <w:rsid w:val="00892FED"/>
    <w:rsid w:val="0089369E"/>
    <w:rsid w:val="0089383E"/>
    <w:rsid w:val="00895B54"/>
    <w:rsid w:val="0089695F"/>
    <w:rsid w:val="008A31C8"/>
    <w:rsid w:val="008A3322"/>
    <w:rsid w:val="008A4A3D"/>
    <w:rsid w:val="008A5D84"/>
    <w:rsid w:val="008A7C5D"/>
    <w:rsid w:val="008B36BD"/>
    <w:rsid w:val="008B4571"/>
    <w:rsid w:val="008C226A"/>
    <w:rsid w:val="008C2808"/>
    <w:rsid w:val="008C2B53"/>
    <w:rsid w:val="008C3CEF"/>
    <w:rsid w:val="008C3DE9"/>
    <w:rsid w:val="008C4571"/>
    <w:rsid w:val="008C48B7"/>
    <w:rsid w:val="008C5D0F"/>
    <w:rsid w:val="008D1B50"/>
    <w:rsid w:val="008D29D3"/>
    <w:rsid w:val="008D511C"/>
    <w:rsid w:val="008D60FF"/>
    <w:rsid w:val="008D6F0E"/>
    <w:rsid w:val="008E0B00"/>
    <w:rsid w:val="008E10EF"/>
    <w:rsid w:val="008E1744"/>
    <w:rsid w:val="008E1AE7"/>
    <w:rsid w:val="008E251D"/>
    <w:rsid w:val="008E26F9"/>
    <w:rsid w:val="008E6E26"/>
    <w:rsid w:val="008E78DC"/>
    <w:rsid w:val="008F4A6C"/>
    <w:rsid w:val="008F62A1"/>
    <w:rsid w:val="008F7D64"/>
    <w:rsid w:val="0090043B"/>
    <w:rsid w:val="00904BA6"/>
    <w:rsid w:val="009062B0"/>
    <w:rsid w:val="00910638"/>
    <w:rsid w:val="00913C74"/>
    <w:rsid w:val="00914326"/>
    <w:rsid w:val="00914A44"/>
    <w:rsid w:val="009170CF"/>
    <w:rsid w:val="00920727"/>
    <w:rsid w:val="009216EB"/>
    <w:rsid w:val="00921B13"/>
    <w:rsid w:val="00926CC2"/>
    <w:rsid w:val="009300B3"/>
    <w:rsid w:val="009300C8"/>
    <w:rsid w:val="0093141D"/>
    <w:rsid w:val="00931710"/>
    <w:rsid w:val="009327FD"/>
    <w:rsid w:val="00934DBC"/>
    <w:rsid w:val="009350CE"/>
    <w:rsid w:val="0094087C"/>
    <w:rsid w:val="00942432"/>
    <w:rsid w:val="00943939"/>
    <w:rsid w:val="00946BC1"/>
    <w:rsid w:val="00947273"/>
    <w:rsid w:val="00947EDE"/>
    <w:rsid w:val="00950C93"/>
    <w:rsid w:val="009518A0"/>
    <w:rsid w:val="009538C4"/>
    <w:rsid w:val="0095458B"/>
    <w:rsid w:val="00954AEC"/>
    <w:rsid w:val="00955B10"/>
    <w:rsid w:val="00956B4E"/>
    <w:rsid w:val="009641ED"/>
    <w:rsid w:val="00964ACA"/>
    <w:rsid w:val="00965FE1"/>
    <w:rsid w:val="009661B0"/>
    <w:rsid w:val="00966569"/>
    <w:rsid w:val="00966906"/>
    <w:rsid w:val="009669EC"/>
    <w:rsid w:val="00967CC9"/>
    <w:rsid w:val="009701DC"/>
    <w:rsid w:val="00972AAC"/>
    <w:rsid w:val="009736FB"/>
    <w:rsid w:val="00975516"/>
    <w:rsid w:val="00975B79"/>
    <w:rsid w:val="00977BBB"/>
    <w:rsid w:val="00984AD8"/>
    <w:rsid w:val="00985517"/>
    <w:rsid w:val="00985612"/>
    <w:rsid w:val="00987B45"/>
    <w:rsid w:val="0099313D"/>
    <w:rsid w:val="009938ED"/>
    <w:rsid w:val="009A08BE"/>
    <w:rsid w:val="009A0FD5"/>
    <w:rsid w:val="009A1476"/>
    <w:rsid w:val="009A5405"/>
    <w:rsid w:val="009B49DC"/>
    <w:rsid w:val="009B4A96"/>
    <w:rsid w:val="009B7330"/>
    <w:rsid w:val="009B7812"/>
    <w:rsid w:val="009C0ACC"/>
    <w:rsid w:val="009C38E7"/>
    <w:rsid w:val="009C6E39"/>
    <w:rsid w:val="009D11CF"/>
    <w:rsid w:val="009D2A04"/>
    <w:rsid w:val="009D3D40"/>
    <w:rsid w:val="009D5B4E"/>
    <w:rsid w:val="009D6008"/>
    <w:rsid w:val="009D725A"/>
    <w:rsid w:val="009E2FDA"/>
    <w:rsid w:val="009E4A1D"/>
    <w:rsid w:val="009E6360"/>
    <w:rsid w:val="009E744B"/>
    <w:rsid w:val="009E7C72"/>
    <w:rsid w:val="009F02FA"/>
    <w:rsid w:val="009F139E"/>
    <w:rsid w:val="009F294E"/>
    <w:rsid w:val="009F567F"/>
    <w:rsid w:val="009F6AB4"/>
    <w:rsid w:val="009F6C1E"/>
    <w:rsid w:val="009F751D"/>
    <w:rsid w:val="009F7E7B"/>
    <w:rsid w:val="00A029DE"/>
    <w:rsid w:val="00A04AFF"/>
    <w:rsid w:val="00A074E8"/>
    <w:rsid w:val="00A10B08"/>
    <w:rsid w:val="00A11091"/>
    <w:rsid w:val="00A128F5"/>
    <w:rsid w:val="00A13190"/>
    <w:rsid w:val="00A16AA7"/>
    <w:rsid w:val="00A172D8"/>
    <w:rsid w:val="00A20A10"/>
    <w:rsid w:val="00A22376"/>
    <w:rsid w:val="00A22598"/>
    <w:rsid w:val="00A22EF1"/>
    <w:rsid w:val="00A24190"/>
    <w:rsid w:val="00A27224"/>
    <w:rsid w:val="00A32754"/>
    <w:rsid w:val="00A3289E"/>
    <w:rsid w:val="00A33D97"/>
    <w:rsid w:val="00A34CFB"/>
    <w:rsid w:val="00A352A5"/>
    <w:rsid w:val="00A415F5"/>
    <w:rsid w:val="00A42B69"/>
    <w:rsid w:val="00A42C58"/>
    <w:rsid w:val="00A50249"/>
    <w:rsid w:val="00A51688"/>
    <w:rsid w:val="00A51B8D"/>
    <w:rsid w:val="00A54A0E"/>
    <w:rsid w:val="00A557CB"/>
    <w:rsid w:val="00A57FD4"/>
    <w:rsid w:val="00A60281"/>
    <w:rsid w:val="00A60877"/>
    <w:rsid w:val="00A611FD"/>
    <w:rsid w:val="00A612B3"/>
    <w:rsid w:val="00A61A6E"/>
    <w:rsid w:val="00A62738"/>
    <w:rsid w:val="00A63066"/>
    <w:rsid w:val="00A64957"/>
    <w:rsid w:val="00A67645"/>
    <w:rsid w:val="00A67B53"/>
    <w:rsid w:val="00A70266"/>
    <w:rsid w:val="00A743E6"/>
    <w:rsid w:val="00A7695D"/>
    <w:rsid w:val="00A769F6"/>
    <w:rsid w:val="00A83D26"/>
    <w:rsid w:val="00A8485B"/>
    <w:rsid w:val="00A87D00"/>
    <w:rsid w:val="00A91674"/>
    <w:rsid w:val="00A92227"/>
    <w:rsid w:val="00AA125F"/>
    <w:rsid w:val="00AA2344"/>
    <w:rsid w:val="00AA36EE"/>
    <w:rsid w:val="00AA464A"/>
    <w:rsid w:val="00AA60A2"/>
    <w:rsid w:val="00AA60EA"/>
    <w:rsid w:val="00AA61B3"/>
    <w:rsid w:val="00AA7495"/>
    <w:rsid w:val="00AB3D9D"/>
    <w:rsid w:val="00AB5F1A"/>
    <w:rsid w:val="00AB6F51"/>
    <w:rsid w:val="00AB701F"/>
    <w:rsid w:val="00AB7CEE"/>
    <w:rsid w:val="00AC0E27"/>
    <w:rsid w:val="00AC5884"/>
    <w:rsid w:val="00AC63CE"/>
    <w:rsid w:val="00AC644A"/>
    <w:rsid w:val="00AD2147"/>
    <w:rsid w:val="00AD4B91"/>
    <w:rsid w:val="00AD7079"/>
    <w:rsid w:val="00AE052B"/>
    <w:rsid w:val="00AE3B28"/>
    <w:rsid w:val="00AE55BF"/>
    <w:rsid w:val="00AE57F7"/>
    <w:rsid w:val="00AF0B81"/>
    <w:rsid w:val="00AF188F"/>
    <w:rsid w:val="00AF5EB7"/>
    <w:rsid w:val="00AF6208"/>
    <w:rsid w:val="00AF71DD"/>
    <w:rsid w:val="00B04494"/>
    <w:rsid w:val="00B04F39"/>
    <w:rsid w:val="00B13B51"/>
    <w:rsid w:val="00B13CD5"/>
    <w:rsid w:val="00B23DFB"/>
    <w:rsid w:val="00B24B82"/>
    <w:rsid w:val="00B250D5"/>
    <w:rsid w:val="00B26855"/>
    <w:rsid w:val="00B26CFB"/>
    <w:rsid w:val="00B32D49"/>
    <w:rsid w:val="00B37E87"/>
    <w:rsid w:val="00B44175"/>
    <w:rsid w:val="00B4455E"/>
    <w:rsid w:val="00B4464E"/>
    <w:rsid w:val="00B44CFE"/>
    <w:rsid w:val="00B46189"/>
    <w:rsid w:val="00B464AD"/>
    <w:rsid w:val="00B52E2A"/>
    <w:rsid w:val="00B53F51"/>
    <w:rsid w:val="00B54454"/>
    <w:rsid w:val="00B56631"/>
    <w:rsid w:val="00B5774B"/>
    <w:rsid w:val="00B57B3A"/>
    <w:rsid w:val="00B6038A"/>
    <w:rsid w:val="00B603A1"/>
    <w:rsid w:val="00B6314F"/>
    <w:rsid w:val="00B6392E"/>
    <w:rsid w:val="00B63FCB"/>
    <w:rsid w:val="00B6495E"/>
    <w:rsid w:val="00B64AC6"/>
    <w:rsid w:val="00B653C0"/>
    <w:rsid w:val="00B701C2"/>
    <w:rsid w:val="00B71D9F"/>
    <w:rsid w:val="00B73D08"/>
    <w:rsid w:val="00B77417"/>
    <w:rsid w:val="00B828E0"/>
    <w:rsid w:val="00B84080"/>
    <w:rsid w:val="00B843DF"/>
    <w:rsid w:val="00B8508E"/>
    <w:rsid w:val="00B85A59"/>
    <w:rsid w:val="00B92FD5"/>
    <w:rsid w:val="00B93A99"/>
    <w:rsid w:val="00B94AB5"/>
    <w:rsid w:val="00B95CD3"/>
    <w:rsid w:val="00BA1E62"/>
    <w:rsid w:val="00BA3BC9"/>
    <w:rsid w:val="00BA557E"/>
    <w:rsid w:val="00BA633E"/>
    <w:rsid w:val="00BB21A5"/>
    <w:rsid w:val="00BB2636"/>
    <w:rsid w:val="00BB39E9"/>
    <w:rsid w:val="00BB4331"/>
    <w:rsid w:val="00BB60CF"/>
    <w:rsid w:val="00BB7B46"/>
    <w:rsid w:val="00BC02B0"/>
    <w:rsid w:val="00BC14CD"/>
    <w:rsid w:val="00BC5DE4"/>
    <w:rsid w:val="00BC740F"/>
    <w:rsid w:val="00BD0CC3"/>
    <w:rsid w:val="00BD12AC"/>
    <w:rsid w:val="00BD1FAB"/>
    <w:rsid w:val="00BD34F9"/>
    <w:rsid w:val="00BD57B1"/>
    <w:rsid w:val="00BD64D2"/>
    <w:rsid w:val="00BE1EA3"/>
    <w:rsid w:val="00BE4B38"/>
    <w:rsid w:val="00BE4D1B"/>
    <w:rsid w:val="00BE63B8"/>
    <w:rsid w:val="00BF1822"/>
    <w:rsid w:val="00BF25BB"/>
    <w:rsid w:val="00BF69E7"/>
    <w:rsid w:val="00BF7D26"/>
    <w:rsid w:val="00C02D53"/>
    <w:rsid w:val="00C04BF5"/>
    <w:rsid w:val="00C04DC6"/>
    <w:rsid w:val="00C126DD"/>
    <w:rsid w:val="00C145B6"/>
    <w:rsid w:val="00C20CA4"/>
    <w:rsid w:val="00C214F8"/>
    <w:rsid w:val="00C26256"/>
    <w:rsid w:val="00C26747"/>
    <w:rsid w:val="00C34B7F"/>
    <w:rsid w:val="00C35252"/>
    <w:rsid w:val="00C36420"/>
    <w:rsid w:val="00C36C06"/>
    <w:rsid w:val="00C3711B"/>
    <w:rsid w:val="00C379E5"/>
    <w:rsid w:val="00C40F35"/>
    <w:rsid w:val="00C41466"/>
    <w:rsid w:val="00C437F8"/>
    <w:rsid w:val="00C4384B"/>
    <w:rsid w:val="00C45330"/>
    <w:rsid w:val="00C464B7"/>
    <w:rsid w:val="00C479AB"/>
    <w:rsid w:val="00C51B6E"/>
    <w:rsid w:val="00C525BF"/>
    <w:rsid w:val="00C533D1"/>
    <w:rsid w:val="00C55325"/>
    <w:rsid w:val="00C5569B"/>
    <w:rsid w:val="00C57488"/>
    <w:rsid w:val="00C5788F"/>
    <w:rsid w:val="00C603C4"/>
    <w:rsid w:val="00C631E3"/>
    <w:rsid w:val="00C64A5C"/>
    <w:rsid w:val="00C64B7B"/>
    <w:rsid w:val="00C64F0F"/>
    <w:rsid w:val="00C669E7"/>
    <w:rsid w:val="00C67066"/>
    <w:rsid w:val="00C73834"/>
    <w:rsid w:val="00C7413F"/>
    <w:rsid w:val="00C74C29"/>
    <w:rsid w:val="00C752B9"/>
    <w:rsid w:val="00C75606"/>
    <w:rsid w:val="00C76248"/>
    <w:rsid w:val="00C7694B"/>
    <w:rsid w:val="00C800BD"/>
    <w:rsid w:val="00C80113"/>
    <w:rsid w:val="00C81E71"/>
    <w:rsid w:val="00C827E0"/>
    <w:rsid w:val="00C86E81"/>
    <w:rsid w:val="00C953B2"/>
    <w:rsid w:val="00C96A72"/>
    <w:rsid w:val="00C9729B"/>
    <w:rsid w:val="00CA1C76"/>
    <w:rsid w:val="00CA280A"/>
    <w:rsid w:val="00CA315B"/>
    <w:rsid w:val="00CA497E"/>
    <w:rsid w:val="00CB15AE"/>
    <w:rsid w:val="00CB1753"/>
    <w:rsid w:val="00CB2F2B"/>
    <w:rsid w:val="00CB498A"/>
    <w:rsid w:val="00CB533B"/>
    <w:rsid w:val="00CB54BF"/>
    <w:rsid w:val="00CB684E"/>
    <w:rsid w:val="00CC00D8"/>
    <w:rsid w:val="00CC1F1A"/>
    <w:rsid w:val="00CC2C63"/>
    <w:rsid w:val="00CC308A"/>
    <w:rsid w:val="00CC4E2A"/>
    <w:rsid w:val="00CC5C27"/>
    <w:rsid w:val="00CC6376"/>
    <w:rsid w:val="00CD2AC4"/>
    <w:rsid w:val="00CD3F25"/>
    <w:rsid w:val="00CD51AF"/>
    <w:rsid w:val="00CD566B"/>
    <w:rsid w:val="00CD60D2"/>
    <w:rsid w:val="00CD67B3"/>
    <w:rsid w:val="00CD6D9B"/>
    <w:rsid w:val="00CE3462"/>
    <w:rsid w:val="00CE373D"/>
    <w:rsid w:val="00CE6827"/>
    <w:rsid w:val="00CF0562"/>
    <w:rsid w:val="00CF1B9A"/>
    <w:rsid w:val="00CF2221"/>
    <w:rsid w:val="00CF282C"/>
    <w:rsid w:val="00D043A7"/>
    <w:rsid w:val="00D04847"/>
    <w:rsid w:val="00D05482"/>
    <w:rsid w:val="00D11924"/>
    <w:rsid w:val="00D121A1"/>
    <w:rsid w:val="00D132A4"/>
    <w:rsid w:val="00D15489"/>
    <w:rsid w:val="00D15C2B"/>
    <w:rsid w:val="00D17AE2"/>
    <w:rsid w:val="00D205FF"/>
    <w:rsid w:val="00D22BA9"/>
    <w:rsid w:val="00D23618"/>
    <w:rsid w:val="00D26468"/>
    <w:rsid w:val="00D26D66"/>
    <w:rsid w:val="00D32097"/>
    <w:rsid w:val="00D32CB4"/>
    <w:rsid w:val="00D35E98"/>
    <w:rsid w:val="00D3620C"/>
    <w:rsid w:val="00D40B0B"/>
    <w:rsid w:val="00D434D2"/>
    <w:rsid w:val="00D472A6"/>
    <w:rsid w:val="00D4768F"/>
    <w:rsid w:val="00D50863"/>
    <w:rsid w:val="00D518CA"/>
    <w:rsid w:val="00D53C43"/>
    <w:rsid w:val="00D55275"/>
    <w:rsid w:val="00D56465"/>
    <w:rsid w:val="00D565E3"/>
    <w:rsid w:val="00D56A5F"/>
    <w:rsid w:val="00D60A8B"/>
    <w:rsid w:val="00D63F57"/>
    <w:rsid w:val="00D64441"/>
    <w:rsid w:val="00D655B6"/>
    <w:rsid w:val="00D662FC"/>
    <w:rsid w:val="00D66B7A"/>
    <w:rsid w:val="00D72016"/>
    <w:rsid w:val="00D72E46"/>
    <w:rsid w:val="00D74E12"/>
    <w:rsid w:val="00D81F6F"/>
    <w:rsid w:val="00D82E74"/>
    <w:rsid w:val="00D8362A"/>
    <w:rsid w:val="00D84905"/>
    <w:rsid w:val="00D86F74"/>
    <w:rsid w:val="00D87F0D"/>
    <w:rsid w:val="00D92185"/>
    <w:rsid w:val="00D936ED"/>
    <w:rsid w:val="00D95D58"/>
    <w:rsid w:val="00D968C4"/>
    <w:rsid w:val="00D97D81"/>
    <w:rsid w:val="00DA42FF"/>
    <w:rsid w:val="00DB4026"/>
    <w:rsid w:val="00DB44CA"/>
    <w:rsid w:val="00DB4E6D"/>
    <w:rsid w:val="00DB4F7D"/>
    <w:rsid w:val="00DB5BC6"/>
    <w:rsid w:val="00DB5EDC"/>
    <w:rsid w:val="00DB66D3"/>
    <w:rsid w:val="00DC04B3"/>
    <w:rsid w:val="00DC1553"/>
    <w:rsid w:val="00DC2C1C"/>
    <w:rsid w:val="00DC3C86"/>
    <w:rsid w:val="00DD0BF5"/>
    <w:rsid w:val="00DD43B0"/>
    <w:rsid w:val="00DD5520"/>
    <w:rsid w:val="00DD7378"/>
    <w:rsid w:val="00DE27BC"/>
    <w:rsid w:val="00DE5650"/>
    <w:rsid w:val="00DE6127"/>
    <w:rsid w:val="00DF0630"/>
    <w:rsid w:val="00DF2ACA"/>
    <w:rsid w:val="00DF4CA6"/>
    <w:rsid w:val="00DF4E50"/>
    <w:rsid w:val="00DF52A7"/>
    <w:rsid w:val="00E005F2"/>
    <w:rsid w:val="00E0108F"/>
    <w:rsid w:val="00E043CB"/>
    <w:rsid w:val="00E045D3"/>
    <w:rsid w:val="00E072E8"/>
    <w:rsid w:val="00E1349E"/>
    <w:rsid w:val="00E1451D"/>
    <w:rsid w:val="00E16784"/>
    <w:rsid w:val="00E20796"/>
    <w:rsid w:val="00E21216"/>
    <w:rsid w:val="00E2135F"/>
    <w:rsid w:val="00E2438D"/>
    <w:rsid w:val="00E243A2"/>
    <w:rsid w:val="00E24A3F"/>
    <w:rsid w:val="00E331C0"/>
    <w:rsid w:val="00E34134"/>
    <w:rsid w:val="00E34263"/>
    <w:rsid w:val="00E35947"/>
    <w:rsid w:val="00E36CB2"/>
    <w:rsid w:val="00E40F04"/>
    <w:rsid w:val="00E4114E"/>
    <w:rsid w:val="00E4685A"/>
    <w:rsid w:val="00E46AF8"/>
    <w:rsid w:val="00E47C7B"/>
    <w:rsid w:val="00E47D4D"/>
    <w:rsid w:val="00E558C9"/>
    <w:rsid w:val="00E55E2B"/>
    <w:rsid w:val="00E57BAE"/>
    <w:rsid w:val="00E6023E"/>
    <w:rsid w:val="00E63B32"/>
    <w:rsid w:val="00E64E02"/>
    <w:rsid w:val="00E65E52"/>
    <w:rsid w:val="00E6616F"/>
    <w:rsid w:val="00E735C3"/>
    <w:rsid w:val="00E76059"/>
    <w:rsid w:val="00E852A2"/>
    <w:rsid w:val="00E87830"/>
    <w:rsid w:val="00E92C32"/>
    <w:rsid w:val="00E95697"/>
    <w:rsid w:val="00E95D22"/>
    <w:rsid w:val="00E97689"/>
    <w:rsid w:val="00EA2B3C"/>
    <w:rsid w:val="00EA3400"/>
    <w:rsid w:val="00EA4F36"/>
    <w:rsid w:val="00EA75D4"/>
    <w:rsid w:val="00EB0DA4"/>
    <w:rsid w:val="00EB3575"/>
    <w:rsid w:val="00EB4152"/>
    <w:rsid w:val="00EB63D8"/>
    <w:rsid w:val="00EB6504"/>
    <w:rsid w:val="00EB78EC"/>
    <w:rsid w:val="00EC2535"/>
    <w:rsid w:val="00EC35A3"/>
    <w:rsid w:val="00EC4601"/>
    <w:rsid w:val="00EC5518"/>
    <w:rsid w:val="00EC76DA"/>
    <w:rsid w:val="00ED06F5"/>
    <w:rsid w:val="00ED5741"/>
    <w:rsid w:val="00ED6687"/>
    <w:rsid w:val="00ED715D"/>
    <w:rsid w:val="00ED768F"/>
    <w:rsid w:val="00EE08C5"/>
    <w:rsid w:val="00EE126B"/>
    <w:rsid w:val="00EE7973"/>
    <w:rsid w:val="00EF0AF6"/>
    <w:rsid w:val="00EF14AE"/>
    <w:rsid w:val="00EF2136"/>
    <w:rsid w:val="00EF3564"/>
    <w:rsid w:val="00EF3F7D"/>
    <w:rsid w:val="00EF4040"/>
    <w:rsid w:val="00F00CFB"/>
    <w:rsid w:val="00F04C36"/>
    <w:rsid w:val="00F0507B"/>
    <w:rsid w:val="00F0605A"/>
    <w:rsid w:val="00F06A51"/>
    <w:rsid w:val="00F10C5C"/>
    <w:rsid w:val="00F117AC"/>
    <w:rsid w:val="00F120D3"/>
    <w:rsid w:val="00F124D1"/>
    <w:rsid w:val="00F13A97"/>
    <w:rsid w:val="00F13B62"/>
    <w:rsid w:val="00F151A0"/>
    <w:rsid w:val="00F22F38"/>
    <w:rsid w:val="00F236C8"/>
    <w:rsid w:val="00F2498D"/>
    <w:rsid w:val="00F2538D"/>
    <w:rsid w:val="00F259D8"/>
    <w:rsid w:val="00F26244"/>
    <w:rsid w:val="00F26D58"/>
    <w:rsid w:val="00F2799B"/>
    <w:rsid w:val="00F31234"/>
    <w:rsid w:val="00F31368"/>
    <w:rsid w:val="00F32EF1"/>
    <w:rsid w:val="00F33BD6"/>
    <w:rsid w:val="00F342CC"/>
    <w:rsid w:val="00F40933"/>
    <w:rsid w:val="00F42E1E"/>
    <w:rsid w:val="00F51F15"/>
    <w:rsid w:val="00F53C6E"/>
    <w:rsid w:val="00F558B4"/>
    <w:rsid w:val="00F55A37"/>
    <w:rsid w:val="00F611EB"/>
    <w:rsid w:val="00F67C69"/>
    <w:rsid w:val="00F711E2"/>
    <w:rsid w:val="00F726B8"/>
    <w:rsid w:val="00F824CF"/>
    <w:rsid w:val="00F83D09"/>
    <w:rsid w:val="00F8408F"/>
    <w:rsid w:val="00F861BD"/>
    <w:rsid w:val="00F906EF"/>
    <w:rsid w:val="00F91EFF"/>
    <w:rsid w:val="00F9288C"/>
    <w:rsid w:val="00F930B4"/>
    <w:rsid w:val="00FA0512"/>
    <w:rsid w:val="00FA1742"/>
    <w:rsid w:val="00FA239A"/>
    <w:rsid w:val="00FA27C0"/>
    <w:rsid w:val="00FA4143"/>
    <w:rsid w:val="00FA62B9"/>
    <w:rsid w:val="00FA69D3"/>
    <w:rsid w:val="00FA7C74"/>
    <w:rsid w:val="00FB00A5"/>
    <w:rsid w:val="00FB022C"/>
    <w:rsid w:val="00FB3892"/>
    <w:rsid w:val="00FB4387"/>
    <w:rsid w:val="00FB4C7C"/>
    <w:rsid w:val="00FB6C5D"/>
    <w:rsid w:val="00FB796E"/>
    <w:rsid w:val="00FC118E"/>
    <w:rsid w:val="00FC1207"/>
    <w:rsid w:val="00FC2706"/>
    <w:rsid w:val="00FC39E0"/>
    <w:rsid w:val="00FC4BB5"/>
    <w:rsid w:val="00FD1C75"/>
    <w:rsid w:val="00FD21BC"/>
    <w:rsid w:val="00FD2223"/>
    <w:rsid w:val="00FD304B"/>
    <w:rsid w:val="00FD4EAB"/>
    <w:rsid w:val="00FD5ADC"/>
    <w:rsid w:val="00FE23A4"/>
    <w:rsid w:val="00FE5CDF"/>
    <w:rsid w:val="00FF2A7A"/>
    <w:rsid w:val="00FF7E44"/>
    <w:rsid w:val="1DAEB2F1"/>
    <w:rsid w:val="267EE82B"/>
    <w:rsid w:val="6CB2C1E4"/>
    <w:rsid w:val="7E1501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228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9B8"/>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D6A65"/>
    <w:rPr>
      <w:rFonts w:ascii="Arial" w:hAnsi="Arial"/>
      <w:szCs w:val="22"/>
      <w:lang w:val="en-US" w:eastAsia="en-US"/>
    </w:rPr>
  </w:style>
  <w:style w:type="paragraph" w:customStyle="1" w:styleId="EditorsNote">
    <w:name w:val="Editor's Note"/>
    <w:basedOn w:val="Normal"/>
    <w:link w:val="EditorsNoteChar"/>
    <w:qFormat/>
    <w:rsid w:val="00FB796E"/>
    <w:pPr>
      <w:keepLines/>
      <w:spacing w:after="180" w:line="259" w:lineRule="auto"/>
      <w:ind w:left="1135" w:hanging="851"/>
    </w:pPr>
    <w:rPr>
      <w:rFonts w:ascii="Times New Roman" w:hAnsi="Times New Roman"/>
      <w:color w:val="FF0000"/>
      <w:szCs w:val="20"/>
      <w:lang w:val="en-GB"/>
    </w:rPr>
  </w:style>
  <w:style w:type="character" w:customStyle="1" w:styleId="EditorsNoteChar">
    <w:name w:val="Editor's Note Char"/>
    <w:aliases w:val="EN Char"/>
    <w:link w:val="EditorsNote"/>
    <w:qFormat/>
    <w:rsid w:val="00FB796E"/>
    <w:rPr>
      <w:rFonts w:ascii="Times New Roman" w:hAnsi="Times New Roman"/>
      <w:color w:val="FF0000"/>
      <w:lang w:eastAsia="en-US"/>
    </w:rPr>
  </w:style>
  <w:style w:type="paragraph" w:customStyle="1" w:styleId="B2">
    <w:name w:val="B2"/>
    <w:basedOn w:val="List2"/>
    <w:link w:val="B2Char"/>
    <w:qFormat/>
    <w:rsid w:val="00FF2A7A"/>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FF2A7A"/>
    <w:rPr>
      <w:rFonts w:ascii="Times New Roman" w:eastAsia="Times New Roman" w:hAnsi="Times New Roman"/>
      <w:lang w:eastAsia="ja-JP"/>
    </w:rPr>
  </w:style>
  <w:style w:type="paragraph" w:styleId="List2">
    <w:name w:val="List 2"/>
    <w:basedOn w:val="Normal"/>
    <w:uiPriority w:val="99"/>
    <w:semiHidden/>
    <w:unhideWhenUsed/>
    <w:rsid w:val="00FF2A7A"/>
    <w:pPr>
      <w:ind w:left="566" w:hanging="283"/>
      <w:contextualSpacing/>
    </w:pPr>
  </w:style>
  <w:style w:type="paragraph" w:customStyle="1" w:styleId="Agreement">
    <w:name w:val="Agreement"/>
    <w:basedOn w:val="Normal"/>
    <w:next w:val="Normal"/>
    <w:uiPriority w:val="99"/>
    <w:qFormat/>
    <w:rsid w:val="002D765B"/>
    <w:pPr>
      <w:numPr>
        <w:numId w:val="8"/>
      </w:numPr>
      <w:tabs>
        <w:tab w:val="num" w:pos="1620"/>
      </w:tabs>
      <w:spacing w:before="60" w:after="0"/>
    </w:pPr>
    <w:rPr>
      <w:rFonts w:eastAsia="MS Mincho"/>
      <w:b/>
      <w:szCs w:val="24"/>
      <w:lang w:val="en-GB" w:eastAsia="en-GB"/>
    </w:rPr>
  </w:style>
  <w:style w:type="paragraph" w:customStyle="1" w:styleId="TAH">
    <w:name w:val="TAH"/>
    <w:basedOn w:val="Normal"/>
    <w:link w:val="TAHCar"/>
    <w:qFormat/>
    <w:rsid w:val="000B657B"/>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0B657B"/>
    <w:rPr>
      <w:rFonts w:ascii="Arial" w:eastAsia="Times New Roman" w:hAnsi="Arial"/>
      <w:b/>
      <w:sz w:val="18"/>
      <w:lang w:eastAsia="ja-JP"/>
    </w:rPr>
  </w:style>
  <w:style w:type="paragraph" w:customStyle="1" w:styleId="TAL">
    <w:name w:val="TAL"/>
    <w:basedOn w:val="Normal"/>
    <w:link w:val="TALCar"/>
    <w:qFormat/>
    <w:rsid w:val="000B657B"/>
    <w:pPr>
      <w:keepNext/>
      <w:keepLines/>
      <w:spacing w:after="0"/>
    </w:pPr>
    <w:rPr>
      <w:rFonts w:eastAsiaTheme="minorEastAsia"/>
      <w:sz w:val="18"/>
      <w:szCs w:val="20"/>
      <w:lang w:val="en-GB"/>
    </w:rPr>
  </w:style>
  <w:style w:type="character" w:customStyle="1" w:styleId="TALCar">
    <w:name w:val="TAL Car"/>
    <w:basedOn w:val="DefaultParagraphFont"/>
    <w:link w:val="TAL"/>
    <w:qFormat/>
    <w:locked/>
    <w:rsid w:val="000B657B"/>
    <w:rPr>
      <w:rFonts w:ascii="Arial" w:eastAsiaTheme="minorEastAsia" w:hAnsi="Arial"/>
      <w:sz w:val="18"/>
      <w:lang w:eastAsia="en-US"/>
    </w:rPr>
  </w:style>
  <w:style w:type="paragraph" w:customStyle="1" w:styleId="TAN">
    <w:name w:val="TAN"/>
    <w:basedOn w:val="TAL"/>
    <w:qFormat/>
    <w:rsid w:val="00C80113"/>
    <w:pPr>
      <w:ind w:left="851" w:hanging="851"/>
    </w:pPr>
  </w:style>
  <w:style w:type="character" w:customStyle="1" w:styleId="apple-converted-space">
    <w:name w:val="apple-converted-space"/>
    <w:basedOn w:val="DefaultParagraphFont"/>
    <w:rsid w:val="008E6E26"/>
  </w:style>
  <w:style w:type="paragraph" w:customStyle="1" w:styleId="Comments">
    <w:name w:val="Comments"/>
    <w:basedOn w:val="Normal"/>
    <w:link w:val="CommentsChar"/>
    <w:qFormat/>
    <w:rsid w:val="00CB498A"/>
    <w:pPr>
      <w:spacing w:before="40" w:after="0"/>
    </w:pPr>
    <w:rPr>
      <w:rFonts w:eastAsia="MS Mincho"/>
      <w:i/>
      <w:noProof/>
      <w:sz w:val="18"/>
      <w:szCs w:val="24"/>
      <w:lang w:val="en-GB" w:eastAsia="en-GB"/>
    </w:rPr>
  </w:style>
  <w:style w:type="character" w:customStyle="1" w:styleId="CommentsChar">
    <w:name w:val="Comments Char"/>
    <w:link w:val="Comments"/>
    <w:qFormat/>
    <w:rsid w:val="00CB498A"/>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78229">
      <w:bodyDiv w:val="1"/>
      <w:marLeft w:val="0"/>
      <w:marRight w:val="0"/>
      <w:marTop w:val="0"/>
      <w:marBottom w:val="0"/>
      <w:divBdr>
        <w:top w:val="none" w:sz="0" w:space="0" w:color="auto"/>
        <w:left w:val="none" w:sz="0" w:space="0" w:color="auto"/>
        <w:bottom w:val="none" w:sz="0" w:space="0" w:color="auto"/>
        <w:right w:val="none" w:sz="0" w:space="0" w:color="auto"/>
      </w:divBdr>
    </w:div>
    <w:div w:id="70465567">
      <w:bodyDiv w:val="1"/>
      <w:marLeft w:val="0"/>
      <w:marRight w:val="0"/>
      <w:marTop w:val="0"/>
      <w:marBottom w:val="0"/>
      <w:divBdr>
        <w:top w:val="none" w:sz="0" w:space="0" w:color="auto"/>
        <w:left w:val="none" w:sz="0" w:space="0" w:color="auto"/>
        <w:bottom w:val="none" w:sz="0" w:space="0" w:color="auto"/>
        <w:right w:val="none" w:sz="0" w:space="0" w:color="auto"/>
      </w:divBdr>
    </w:div>
    <w:div w:id="118108342">
      <w:bodyDiv w:val="1"/>
      <w:marLeft w:val="0"/>
      <w:marRight w:val="0"/>
      <w:marTop w:val="0"/>
      <w:marBottom w:val="0"/>
      <w:divBdr>
        <w:top w:val="none" w:sz="0" w:space="0" w:color="auto"/>
        <w:left w:val="none" w:sz="0" w:space="0" w:color="auto"/>
        <w:bottom w:val="none" w:sz="0" w:space="0" w:color="auto"/>
        <w:right w:val="none" w:sz="0" w:space="0" w:color="auto"/>
      </w:divBdr>
    </w:div>
    <w:div w:id="152916897">
      <w:bodyDiv w:val="1"/>
      <w:marLeft w:val="0"/>
      <w:marRight w:val="0"/>
      <w:marTop w:val="0"/>
      <w:marBottom w:val="0"/>
      <w:divBdr>
        <w:top w:val="none" w:sz="0" w:space="0" w:color="auto"/>
        <w:left w:val="none" w:sz="0" w:space="0" w:color="auto"/>
        <w:bottom w:val="none" w:sz="0" w:space="0" w:color="auto"/>
        <w:right w:val="none" w:sz="0" w:space="0" w:color="auto"/>
      </w:divBdr>
    </w:div>
    <w:div w:id="191112128">
      <w:bodyDiv w:val="1"/>
      <w:marLeft w:val="0"/>
      <w:marRight w:val="0"/>
      <w:marTop w:val="0"/>
      <w:marBottom w:val="0"/>
      <w:divBdr>
        <w:top w:val="none" w:sz="0" w:space="0" w:color="auto"/>
        <w:left w:val="none" w:sz="0" w:space="0" w:color="auto"/>
        <w:bottom w:val="none" w:sz="0" w:space="0" w:color="auto"/>
        <w:right w:val="none" w:sz="0" w:space="0" w:color="auto"/>
      </w:divBdr>
      <w:divsChild>
        <w:div w:id="61372696">
          <w:marLeft w:val="576"/>
          <w:marRight w:val="0"/>
          <w:marTop w:val="160"/>
          <w:marBottom w:val="0"/>
          <w:divBdr>
            <w:top w:val="none" w:sz="0" w:space="0" w:color="auto"/>
            <w:left w:val="none" w:sz="0" w:space="0" w:color="auto"/>
            <w:bottom w:val="none" w:sz="0" w:space="0" w:color="auto"/>
            <w:right w:val="none" w:sz="0" w:space="0" w:color="auto"/>
          </w:divBdr>
        </w:div>
        <w:div w:id="1719091987">
          <w:marLeft w:val="850"/>
          <w:marRight w:val="0"/>
          <w:marTop w:val="160"/>
          <w:marBottom w:val="0"/>
          <w:divBdr>
            <w:top w:val="none" w:sz="0" w:space="0" w:color="auto"/>
            <w:left w:val="none" w:sz="0" w:space="0" w:color="auto"/>
            <w:bottom w:val="none" w:sz="0" w:space="0" w:color="auto"/>
            <w:right w:val="none" w:sz="0" w:space="0" w:color="auto"/>
          </w:divBdr>
        </w:div>
        <w:div w:id="343672387">
          <w:marLeft w:val="850"/>
          <w:marRight w:val="0"/>
          <w:marTop w:val="160"/>
          <w:marBottom w:val="0"/>
          <w:divBdr>
            <w:top w:val="none" w:sz="0" w:space="0" w:color="auto"/>
            <w:left w:val="none" w:sz="0" w:space="0" w:color="auto"/>
            <w:bottom w:val="none" w:sz="0" w:space="0" w:color="auto"/>
            <w:right w:val="none" w:sz="0" w:space="0" w:color="auto"/>
          </w:divBdr>
        </w:div>
        <w:div w:id="1710375254">
          <w:marLeft w:val="576"/>
          <w:marRight w:val="0"/>
          <w:marTop w:val="160"/>
          <w:marBottom w:val="0"/>
          <w:divBdr>
            <w:top w:val="none" w:sz="0" w:space="0" w:color="auto"/>
            <w:left w:val="none" w:sz="0" w:space="0" w:color="auto"/>
            <w:bottom w:val="none" w:sz="0" w:space="0" w:color="auto"/>
            <w:right w:val="none" w:sz="0" w:space="0" w:color="auto"/>
          </w:divBdr>
        </w:div>
      </w:divsChild>
    </w:div>
    <w:div w:id="228538703">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78100220">
      <w:bodyDiv w:val="1"/>
      <w:marLeft w:val="0"/>
      <w:marRight w:val="0"/>
      <w:marTop w:val="0"/>
      <w:marBottom w:val="0"/>
      <w:divBdr>
        <w:top w:val="none" w:sz="0" w:space="0" w:color="auto"/>
        <w:left w:val="none" w:sz="0" w:space="0" w:color="auto"/>
        <w:bottom w:val="none" w:sz="0" w:space="0" w:color="auto"/>
        <w:right w:val="none" w:sz="0" w:space="0" w:color="auto"/>
      </w:divBdr>
    </w:div>
    <w:div w:id="390009378">
      <w:bodyDiv w:val="1"/>
      <w:marLeft w:val="0"/>
      <w:marRight w:val="0"/>
      <w:marTop w:val="0"/>
      <w:marBottom w:val="0"/>
      <w:divBdr>
        <w:top w:val="none" w:sz="0" w:space="0" w:color="auto"/>
        <w:left w:val="none" w:sz="0" w:space="0" w:color="auto"/>
        <w:bottom w:val="none" w:sz="0" w:space="0" w:color="auto"/>
        <w:right w:val="none" w:sz="0" w:space="0" w:color="auto"/>
      </w:divBdr>
      <w:divsChild>
        <w:div w:id="1605065748">
          <w:marLeft w:val="576"/>
          <w:marRight w:val="0"/>
          <w:marTop w:val="160"/>
          <w:marBottom w:val="0"/>
          <w:divBdr>
            <w:top w:val="none" w:sz="0" w:space="0" w:color="auto"/>
            <w:left w:val="none" w:sz="0" w:space="0" w:color="auto"/>
            <w:bottom w:val="none" w:sz="0" w:space="0" w:color="auto"/>
            <w:right w:val="none" w:sz="0" w:space="0" w:color="auto"/>
          </w:divBdr>
        </w:div>
        <w:div w:id="352538781">
          <w:marLeft w:val="288"/>
          <w:marRight w:val="0"/>
          <w:marTop w:val="160"/>
          <w:marBottom w:val="0"/>
          <w:divBdr>
            <w:top w:val="none" w:sz="0" w:space="0" w:color="auto"/>
            <w:left w:val="none" w:sz="0" w:space="0" w:color="auto"/>
            <w:bottom w:val="none" w:sz="0" w:space="0" w:color="auto"/>
            <w:right w:val="none" w:sz="0" w:space="0" w:color="auto"/>
          </w:divBdr>
        </w:div>
        <w:div w:id="962618988">
          <w:marLeft w:val="288"/>
          <w:marRight w:val="0"/>
          <w:marTop w:val="160"/>
          <w:marBottom w:val="0"/>
          <w:divBdr>
            <w:top w:val="none" w:sz="0" w:space="0" w:color="auto"/>
            <w:left w:val="none" w:sz="0" w:space="0" w:color="auto"/>
            <w:bottom w:val="none" w:sz="0" w:space="0" w:color="auto"/>
            <w:right w:val="none" w:sz="0" w:space="0" w:color="auto"/>
          </w:divBdr>
        </w:div>
        <w:div w:id="1339775857">
          <w:marLeft w:val="576"/>
          <w:marRight w:val="0"/>
          <w:marTop w:val="60"/>
          <w:marBottom w:val="0"/>
          <w:divBdr>
            <w:top w:val="none" w:sz="0" w:space="0" w:color="auto"/>
            <w:left w:val="none" w:sz="0" w:space="0" w:color="auto"/>
            <w:bottom w:val="none" w:sz="0" w:space="0" w:color="auto"/>
            <w:right w:val="none" w:sz="0" w:space="0" w:color="auto"/>
          </w:divBdr>
        </w:div>
      </w:divsChild>
    </w:div>
    <w:div w:id="423451590">
      <w:bodyDiv w:val="1"/>
      <w:marLeft w:val="0"/>
      <w:marRight w:val="0"/>
      <w:marTop w:val="0"/>
      <w:marBottom w:val="0"/>
      <w:divBdr>
        <w:top w:val="none" w:sz="0" w:space="0" w:color="auto"/>
        <w:left w:val="none" w:sz="0" w:space="0" w:color="auto"/>
        <w:bottom w:val="none" w:sz="0" w:space="0" w:color="auto"/>
        <w:right w:val="none" w:sz="0" w:space="0" w:color="auto"/>
      </w:divBdr>
    </w:div>
    <w:div w:id="549150598">
      <w:bodyDiv w:val="1"/>
      <w:marLeft w:val="0"/>
      <w:marRight w:val="0"/>
      <w:marTop w:val="0"/>
      <w:marBottom w:val="0"/>
      <w:divBdr>
        <w:top w:val="none" w:sz="0" w:space="0" w:color="auto"/>
        <w:left w:val="none" w:sz="0" w:space="0" w:color="auto"/>
        <w:bottom w:val="none" w:sz="0" w:space="0" w:color="auto"/>
        <w:right w:val="none" w:sz="0" w:space="0" w:color="auto"/>
      </w:divBdr>
      <w:divsChild>
        <w:div w:id="739905282">
          <w:marLeft w:val="576"/>
          <w:marRight w:val="0"/>
          <w:marTop w:val="80"/>
          <w:marBottom w:val="80"/>
          <w:divBdr>
            <w:top w:val="none" w:sz="0" w:space="0" w:color="auto"/>
            <w:left w:val="none" w:sz="0" w:space="0" w:color="auto"/>
            <w:bottom w:val="none" w:sz="0" w:space="0" w:color="auto"/>
            <w:right w:val="none" w:sz="0" w:space="0" w:color="auto"/>
          </w:divBdr>
        </w:div>
        <w:div w:id="9530606">
          <w:marLeft w:val="576"/>
          <w:marRight w:val="0"/>
          <w:marTop w:val="80"/>
          <w:marBottom w:val="80"/>
          <w:divBdr>
            <w:top w:val="none" w:sz="0" w:space="0" w:color="auto"/>
            <w:left w:val="none" w:sz="0" w:space="0" w:color="auto"/>
            <w:bottom w:val="none" w:sz="0" w:space="0" w:color="auto"/>
            <w:right w:val="none" w:sz="0" w:space="0" w:color="auto"/>
          </w:divBdr>
        </w:div>
      </w:divsChild>
    </w:div>
    <w:div w:id="648827392">
      <w:bodyDiv w:val="1"/>
      <w:marLeft w:val="0"/>
      <w:marRight w:val="0"/>
      <w:marTop w:val="0"/>
      <w:marBottom w:val="0"/>
      <w:divBdr>
        <w:top w:val="none" w:sz="0" w:space="0" w:color="auto"/>
        <w:left w:val="none" w:sz="0" w:space="0" w:color="auto"/>
        <w:bottom w:val="none" w:sz="0" w:space="0" w:color="auto"/>
        <w:right w:val="none" w:sz="0" w:space="0" w:color="auto"/>
      </w:divBdr>
      <w:divsChild>
        <w:div w:id="752514164">
          <w:marLeft w:val="576"/>
          <w:marRight w:val="0"/>
          <w:marTop w:val="1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54259192">
      <w:bodyDiv w:val="1"/>
      <w:marLeft w:val="0"/>
      <w:marRight w:val="0"/>
      <w:marTop w:val="0"/>
      <w:marBottom w:val="0"/>
      <w:divBdr>
        <w:top w:val="none" w:sz="0" w:space="0" w:color="auto"/>
        <w:left w:val="none" w:sz="0" w:space="0" w:color="auto"/>
        <w:bottom w:val="none" w:sz="0" w:space="0" w:color="auto"/>
        <w:right w:val="none" w:sz="0" w:space="0" w:color="auto"/>
      </w:divBdr>
    </w:div>
    <w:div w:id="669916706">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67241576">
      <w:bodyDiv w:val="1"/>
      <w:marLeft w:val="0"/>
      <w:marRight w:val="0"/>
      <w:marTop w:val="0"/>
      <w:marBottom w:val="0"/>
      <w:divBdr>
        <w:top w:val="none" w:sz="0" w:space="0" w:color="auto"/>
        <w:left w:val="none" w:sz="0" w:space="0" w:color="auto"/>
        <w:bottom w:val="none" w:sz="0" w:space="0" w:color="auto"/>
        <w:right w:val="none" w:sz="0" w:space="0" w:color="auto"/>
      </w:divBdr>
    </w:div>
    <w:div w:id="789979869">
      <w:bodyDiv w:val="1"/>
      <w:marLeft w:val="0"/>
      <w:marRight w:val="0"/>
      <w:marTop w:val="0"/>
      <w:marBottom w:val="0"/>
      <w:divBdr>
        <w:top w:val="none" w:sz="0" w:space="0" w:color="auto"/>
        <w:left w:val="none" w:sz="0" w:space="0" w:color="auto"/>
        <w:bottom w:val="none" w:sz="0" w:space="0" w:color="auto"/>
        <w:right w:val="none" w:sz="0" w:space="0" w:color="auto"/>
      </w:divBdr>
    </w:div>
    <w:div w:id="914709497">
      <w:bodyDiv w:val="1"/>
      <w:marLeft w:val="0"/>
      <w:marRight w:val="0"/>
      <w:marTop w:val="0"/>
      <w:marBottom w:val="0"/>
      <w:divBdr>
        <w:top w:val="none" w:sz="0" w:space="0" w:color="auto"/>
        <w:left w:val="none" w:sz="0" w:space="0" w:color="auto"/>
        <w:bottom w:val="none" w:sz="0" w:space="0" w:color="auto"/>
        <w:right w:val="none" w:sz="0" w:space="0" w:color="auto"/>
      </w:divBdr>
    </w:div>
    <w:div w:id="920411663">
      <w:bodyDiv w:val="1"/>
      <w:marLeft w:val="0"/>
      <w:marRight w:val="0"/>
      <w:marTop w:val="0"/>
      <w:marBottom w:val="0"/>
      <w:divBdr>
        <w:top w:val="none" w:sz="0" w:space="0" w:color="auto"/>
        <w:left w:val="none" w:sz="0" w:space="0" w:color="auto"/>
        <w:bottom w:val="none" w:sz="0" w:space="0" w:color="auto"/>
        <w:right w:val="none" w:sz="0" w:space="0" w:color="auto"/>
      </w:divBdr>
    </w:div>
    <w:div w:id="964317050">
      <w:bodyDiv w:val="1"/>
      <w:marLeft w:val="0"/>
      <w:marRight w:val="0"/>
      <w:marTop w:val="0"/>
      <w:marBottom w:val="0"/>
      <w:divBdr>
        <w:top w:val="none" w:sz="0" w:space="0" w:color="auto"/>
        <w:left w:val="none" w:sz="0" w:space="0" w:color="auto"/>
        <w:bottom w:val="none" w:sz="0" w:space="0" w:color="auto"/>
        <w:right w:val="none" w:sz="0" w:space="0" w:color="auto"/>
      </w:divBdr>
      <w:divsChild>
        <w:div w:id="131023403">
          <w:marLeft w:val="576"/>
          <w:marRight w:val="0"/>
          <w:marTop w:val="160"/>
          <w:marBottom w:val="0"/>
          <w:divBdr>
            <w:top w:val="none" w:sz="0" w:space="0" w:color="auto"/>
            <w:left w:val="none" w:sz="0" w:space="0" w:color="auto"/>
            <w:bottom w:val="none" w:sz="0" w:space="0" w:color="auto"/>
            <w:right w:val="none" w:sz="0" w:space="0" w:color="auto"/>
          </w:divBdr>
        </w:div>
        <w:div w:id="1947342625">
          <w:marLeft w:val="288"/>
          <w:marRight w:val="0"/>
          <w:marTop w:val="160"/>
          <w:marBottom w:val="0"/>
          <w:divBdr>
            <w:top w:val="none" w:sz="0" w:space="0" w:color="auto"/>
            <w:left w:val="none" w:sz="0" w:space="0" w:color="auto"/>
            <w:bottom w:val="none" w:sz="0" w:space="0" w:color="auto"/>
            <w:right w:val="none" w:sz="0" w:space="0" w:color="auto"/>
          </w:divBdr>
        </w:div>
        <w:div w:id="362749620">
          <w:marLeft w:val="288"/>
          <w:marRight w:val="0"/>
          <w:marTop w:val="160"/>
          <w:marBottom w:val="0"/>
          <w:divBdr>
            <w:top w:val="none" w:sz="0" w:space="0" w:color="auto"/>
            <w:left w:val="none" w:sz="0" w:space="0" w:color="auto"/>
            <w:bottom w:val="none" w:sz="0" w:space="0" w:color="auto"/>
            <w:right w:val="none" w:sz="0" w:space="0" w:color="auto"/>
          </w:divBdr>
        </w:div>
        <w:div w:id="2059207461">
          <w:marLeft w:val="576"/>
          <w:marRight w:val="0"/>
          <w:marTop w:val="60"/>
          <w:marBottom w:val="0"/>
          <w:divBdr>
            <w:top w:val="none" w:sz="0" w:space="0" w:color="auto"/>
            <w:left w:val="none" w:sz="0" w:space="0" w:color="auto"/>
            <w:bottom w:val="none" w:sz="0" w:space="0" w:color="auto"/>
            <w:right w:val="none" w:sz="0" w:space="0" w:color="auto"/>
          </w:divBdr>
        </w:div>
      </w:divsChild>
    </w:div>
    <w:div w:id="102100466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5631817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2647709">
      <w:bodyDiv w:val="1"/>
      <w:marLeft w:val="0"/>
      <w:marRight w:val="0"/>
      <w:marTop w:val="0"/>
      <w:marBottom w:val="0"/>
      <w:divBdr>
        <w:top w:val="none" w:sz="0" w:space="0" w:color="auto"/>
        <w:left w:val="none" w:sz="0" w:space="0" w:color="auto"/>
        <w:bottom w:val="none" w:sz="0" w:space="0" w:color="auto"/>
        <w:right w:val="none" w:sz="0" w:space="0" w:color="auto"/>
      </w:divBdr>
    </w:div>
    <w:div w:id="1425034263">
      <w:bodyDiv w:val="1"/>
      <w:marLeft w:val="0"/>
      <w:marRight w:val="0"/>
      <w:marTop w:val="0"/>
      <w:marBottom w:val="0"/>
      <w:divBdr>
        <w:top w:val="none" w:sz="0" w:space="0" w:color="auto"/>
        <w:left w:val="none" w:sz="0" w:space="0" w:color="auto"/>
        <w:bottom w:val="none" w:sz="0" w:space="0" w:color="auto"/>
        <w:right w:val="none" w:sz="0" w:space="0" w:color="auto"/>
      </w:divBdr>
    </w:div>
    <w:div w:id="1550610753">
      <w:bodyDiv w:val="1"/>
      <w:marLeft w:val="0"/>
      <w:marRight w:val="0"/>
      <w:marTop w:val="0"/>
      <w:marBottom w:val="0"/>
      <w:divBdr>
        <w:top w:val="none" w:sz="0" w:space="0" w:color="auto"/>
        <w:left w:val="none" w:sz="0" w:space="0" w:color="auto"/>
        <w:bottom w:val="none" w:sz="0" w:space="0" w:color="auto"/>
        <w:right w:val="none" w:sz="0" w:space="0" w:color="auto"/>
      </w:divBdr>
    </w:div>
    <w:div w:id="1604806188">
      <w:bodyDiv w:val="1"/>
      <w:marLeft w:val="0"/>
      <w:marRight w:val="0"/>
      <w:marTop w:val="0"/>
      <w:marBottom w:val="0"/>
      <w:divBdr>
        <w:top w:val="none" w:sz="0" w:space="0" w:color="auto"/>
        <w:left w:val="none" w:sz="0" w:space="0" w:color="auto"/>
        <w:bottom w:val="none" w:sz="0" w:space="0" w:color="auto"/>
        <w:right w:val="none" w:sz="0" w:space="0" w:color="auto"/>
      </w:divBdr>
      <w:divsChild>
        <w:div w:id="209154318">
          <w:marLeft w:val="288"/>
          <w:marRight w:val="0"/>
          <w:marTop w:val="0"/>
          <w:marBottom w:val="60"/>
          <w:divBdr>
            <w:top w:val="none" w:sz="0" w:space="0" w:color="auto"/>
            <w:left w:val="none" w:sz="0" w:space="0" w:color="auto"/>
            <w:bottom w:val="none" w:sz="0" w:space="0" w:color="auto"/>
            <w:right w:val="none" w:sz="0" w:space="0" w:color="auto"/>
          </w:divBdr>
        </w:div>
        <w:div w:id="1385987174">
          <w:marLeft w:val="274"/>
          <w:marRight w:val="0"/>
          <w:marTop w:val="0"/>
          <w:marBottom w:val="0"/>
          <w:divBdr>
            <w:top w:val="none" w:sz="0" w:space="0" w:color="auto"/>
            <w:left w:val="none" w:sz="0" w:space="0" w:color="auto"/>
            <w:bottom w:val="none" w:sz="0" w:space="0" w:color="auto"/>
            <w:right w:val="none" w:sz="0" w:space="0" w:color="auto"/>
          </w:divBdr>
        </w:div>
        <w:div w:id="264532827">
          <w:marLeft w:val="274"/>
          <w:marRight w:val="0"/>
          <w:marTop w:val="0"/>
          <w:marBottom w:val="0"/>
          <w:divBdr>
            <w:top w:val="none" w:sz="0" w:space="0" w:color="auto"/>
            <w:left w:val="none" w:sz="0" w:space="0" w:color="auto"/>
            <w:bottom w:val="none" w:sz="0" w:space="0" w:color="auto"/>
            <w:right w:val="none" w:sz="0" w:space="0" w:color="auto"/>
          </w:divBdr>
        </w:div>
        <w:div w:id="1415131395">
          <w:marLeft w:val="274"/>
          <w:marRight w:val="0"/>
          <w:marTop w:val="0"/>
          <w:marBottom w:val="0"/>
          <w:divBdr>
            <w:top w:val="none" w:sz="0" w:space="0" w:color="auto"/>
            <w:left w:val="none" w:sz="0" w:space="0" w:color="auto"/>
            <w:bottom w:val="none" w:sz="0" w:space="0" w:color="auto"/>
            <w:right w:val="none" w:sz="0" w:space="0" w:color="auto"/>
          </w:divBdr>
        </w:div>
        <w:div w:id="366376788">
          <w:marLeft w:val="288"/>
          <w:marRight w:val="0"/>
          <w:marTop w:val="0"/>
          <w:marBottom w:val="60"/>
          <w:divBdr>
            <w:top w:val="none" w:sz="0" w:space="0" w:color="auto"/>
            <w:left w:val="none" w:sz="0" w:space="0" w:color="auto"/>
            <w:bottom w:val="none" w:sz="0" w:space="0" w:color="auto"/>
            <w:right w:val="none" w:sz="0" w:space="0" w:color="auto"/>
          </w:divBdr>
        </w:div>
        <w:div w:id="1104113804">
          <w:marLeft w:val="274"/>
          <w:marRight w:val="0"/>
          <w:marTop w:val="0"/>
          <w:marBottom w:val="0"/>
          <w:divBdr>
            <w:top w:val="none" w:sz="0" w:space="0" w:color="auto"/>
            <w:left w:val="none" w:sz="0" w:space="0" w:color="auto"/>
            <w:bottom w:val="none" w:sz="0" w:space="0" w:color="auto"/>
            <w:right w:val="none" w:sz="0" w:space="0" w:color="auto"/>
          </w:divBdr>
        </w:div>
        <w:div w:id="1950695423">
          <w:marLeft w:val="288"/>
          <w:marRight w:val="0"/>
          <w:marTop w:val="0"/>
          <w:marBottom w:val="60"/>
          <w:divBdr>
            <w:top w:val="none" w:sz="0" w:space="0" w:color="auto"/>
            <w:left w:val="none" w:sz="0" w:space="0" w:color="auto"/>
            <w:bottom w:val="none" w:sz="0" w:space="0" w:color="auto"/>
            <w:right w:val="none" w:sz="0" w:space="0" w:color="auto"/>
          </w:divBdr>
        </w:div>
        <w:div w:id="1193225446">
          <w:marLeft w:val="850"/>
          <w:marRight w:val="0"/>
          <w:marTop w:val="0"/>
          <w:marBottom w:val="60"/>
          <w:divBdr>
            <w:top w:val="none" w:sz="0" w:space="0" w:color="auto"/>
            <w:left w:val="none" w:sz="0" w:space="0" w:color="auto"/>
            <w:bottom w:val="none" w:sz="0" w:space="0" w:color="auto"/>
            <w:right w:val="none" w:sz="0" w:space="0" w:color="auto"/>
          </w:divBdr>
        </w:div>
        <w:div w:id="1048260260">
          <w:marLeft w:val="835"/>
          <w:marRight w:val="0"/>
          <w:marTop w:val="0"/>
          <w:marBottom w:val="0"/>
          <w:divBdr>
            <w:top w:val="none" w:sz="0" w:space="0" w:color="auto"/>
            <w:left w:val="none" w:sz="0" w:space="0" w:color="auto"/>
            <w:bottom w:val="none" w:sz="0" w:space="0" w:color="auto"/>
            <w:right w:val="none" w:sz="0" w:space="0" w:color="auto"/>
          </w:divBdr>
        </w:div>
        <w:div w:id="186065149">
          <w:marLeft w:val="1411"/>
          <w:marRight w:val="0"/>
          <w:marTop w:val="0"/>
          <w:marBottom w:val="0"/>
          <w:divBdr>
            <w:top w:val="none" w:sz="0" w:space="0" w:color="auto"/>
            <w:left w:val="none" w:sz="0" w:space="0" w:color="auto"/>
            <w:bottom w:val="none" w:sz="0" w:space="0" w:color="auto"/>
            <w:right w:val="none" w:sz="0" w:space="0" w:color="auto"/>
          </w:divBdr>
        </w:div>
        <w:div w:id="648486035">
          <w:marLeft w:val="1411"/>
          <w:marRight w:val="0"/>
          <w:marTop w:val="0"/>
          <w:marBottom w:val="0"/>
          <w:divBdr>
            <w:top w:val="none" w:sz="0" w:space="0" w:color="auto"/>
            <w:left w:val="none" w:sz="0" w:space="0" w:color="auto"/>
            <w:bottom w:val="none" w:sz="0" w:space="0" w:color="auto"/>
            <w:right w:val="none" w:sz="0" w:space="0" w:color="auto"/>
          </w:divBdr>
        </w:div>
        <w:div w:id="952444056">
          <w:marLeft w:val="850"/>
          <w:marRight w:val="0"/>
          <w:marTop w:val="0"/>
          <w:marBottom w:val="60"/>
          <w:divBdr>
            <w:top w:val="none" w:sz="0" w:space="0" w:color="auto"/>
            <w:left w:val="none" w:sz="0" w:space="0" w:color="auto"/>
            <w:bottom w:val="none" w:sz="0" w:space="0" w:color="auto"/>
            <w:right w:val="none" w:sz="0" w:space="0" w:color="auto"/>
          </w:divBdr>
        </w:div>
        <w:div w:id="1888492466">
          <w:marLeft w:val="835"/>
          <w:marRight w:val="0"/>
          <w:marTop w:val="0"/>
          <w:marBottom w:val="0"/>
          <w:divBdr>
            <w:top w:val="none" w:sz="0" w:space="0" w:color="auto"/>
            <w:left w:val="none" w:sz="0" w:space="0" w:color="auto"/>
            <w:bottom w:val="none" w:sz="0" w:space="0" w:color="auto"/>
            <w:right w:val="none" w:sz="0" w:space="0" w:color="auto"/>
          </w:divBdr>
        </w:div>
        <w:div w:id="1509100268">
          <w:marLeft w:val="1411"/>
          <w:marRight w:val="0"/>
          <w:marTop w:val="0"/>
          <w:marBottom w:val="0"/>
          <w:divBdr>
            <w:top w:val="none" w:sz="0" w:space="0" w:color="auto"/>
            <w:left w:val="none" w:sz="0" w:space="0" w:color="auto"/>
            <w:bottom w:val="none" w:sz="0" w:space="0" w:color="auto"/>
            <w:right w:val="none" w:sz="0" w:space="0" w:color="auto"/>
          </w:divBdr>
        </w:div>
        <w:div w:id="982461965">
          <w:marLeft w:val="850"/>
          <w:marRight w:val="0"/>
          <w:marTop w:val="0"/>
          <w:marBottom w:val="60"/>
          <w:divBdr>
            <w:top w:val="none" w:sz="0" w:space="0" w:color="auto"/>
            <w:left w:val="none" w:sz="0" w:space="0" w:color="auto"/>
            <w:bottom w:val="none" w:sz="0" w:space="0" w:color="auto"/>
            <w:right w:val="none" w:sz="0" w:space="0" w:color="auto"/>
          </w:divBdr>
        </w:div>
        <w:div w:id="1165049472">
          <w:marLeft w:val="1411"/>
          <w:marRight w:val="0"/>
          <w:marTop w:val="0"/>
          <w:marBottom w:val="0"/>
          <w:divBdr>
            <w:top w:val="none" w:sz="0" w:space="0" w:color="auto"/>
            <w:left w:val="none" w:sz="0" w:space="0" w:color="auto"/>
            <w:bottom w:val="none" w:sz="0" w:space="0" w:color="auto"/>
            <w:right w:val="none" w:sz="0" w:space="0" w:color="auto"/>
          </w:divBdr>
        </w:div>
        <w:div w:id="2005543035">
          <w:marLeft w:val="850"/>
          <w:marRight w:val="0"/>
          <w:marTop w:val="0"/>
          <w:marBottom w:val="60"/>
          <w:divBdr>
            <w:top w:val="none" w:sz="0" w:space="0" w:color="auto"/>
            <w:left w:val="none" w:sz="0" w:space="0" w:color="auto"/>
            <w:bottom w:val="none" w:sz="0" w:space="0" w:color="auto"/>
            <w:right w:val="none" w:sz="0" w:space="0" w:color="auto"/>
          </w:divBdr>
        </w:div>
        <w:div w:id="2005425102">
          <w:marLeft w:val="1411"/>
          <w:marRight w:val="0"/>
          <w:marTop w:val="0"/>
          <w:marBottom w:val="0"/>
          <w:divBdr>
            <w:top w:val="none" w:sz="0" w:space="0" w:color="auto"/>
            <w:left w:val="none" w:sz="0" w:space="0" w:color="auto"/>
            <w:bottom w:val="none" w:sz="0" w:space="0" w:color="auto"/>
            <w:right w:val="none" w:sz="0" w:space="0" w:color="auto"/>
          </w:divBdr>
        </w:div>
        <w:div w:id="29768904">
          <w:marLeft w:val="288"/>
          <w:marRight w:val="0"/>
          <w:marTop w:val="0"/>
          <w:marBottom w:val="60"/>
          <w:divBdr>
            <w:top w:val="none" w:sz="0" w:space="0" w:color="auto"/>
            <w:left w:val="none" w:sz="0" w:space="0" w:color="auto"/>
            <w:bottom w:val="none" w:sz="0" w:space="0" w:color="auto"/>
            <w:right w:val="none" w:sz="0" w:space="0" w:color="auto"/>
          </w:divBdr>
        </w:div>
        <w:div w:id="2058433005">
          <w:marLeft w:val="835"/>
          <w:marRight w:val="0"/>
          <w:marTop w:val="0"/>
          <w:marBottom w:val="0"/>
          <w:divBdr>
            <w:top w:val="none" w:sz="0" w:space="0" w:color="auto"/>
            <w:left w:val="none" w:sz="0" w:space="0" w:color="auto"/>
            <w:bottom w:val="none" w:sz="0" w:space="0" w:color="auto"/>
            <w:right w:val="none" w:sz="0" w:space="0" w:color="auto"/>
          </w:divBdr>
        </w:div>
      </w:divsChild>
    </w:div>
    <w:div w:id="1626279568">
      <w:bodyDiv w:val="1"/>
      <w:marLeft w:val="0"/>
      <w:marRight w:val="0"/>
      <w:marTop w:val="0"/>
      <w:marBottom w:val="0"/>
      <w:divBdr>
        <w:top w:val="none" w:sz="0" w:space="0" w:color="auto"/>
        <w:left w:val="none" w:sz="0" w:space="0" w:color="auto"/>
        <w:bottom w:val="none" w:sz="0" w:space="0" w:color="auto"/>
        <w:right w:val="none" w:sz="0" w:space="0" w:color="auto"/>
      </w:divBdr>
    </w:div>
    <w:div w:id="1639408942">
      <w:bodyDiv w:val="1"/>
      <w:marLeft w:val="0"/>
      <w:marRight w:val="0"/>
      <w:marTop w:val="0"/>
      <w:marBottom w:val="0"/>
      <w:divBdr>
        <w:top w:val="none" w:sz="0" w:space="0" w:color="auto"/>
        <w:left w:val="none" w:sz="0" w:space="0" w:color="auto"/>
        <w:bottom w:val="none" w:sz="0" w:space="0" w:color="auto"/>
        <w:right w:val="none" w:sz="0" w:space="0" w:color="auto"/>
      </w:divBdr>
    </w:div>
    <w:div w:id="1736977246">
      <w:bodyDiv w:val="1"/>
      <w:marLeft w:val="0"/>
      <w:marRight w:val="0"/>
      <w:marTop w:val="0"/>
      <w:marBottom w:val="0"/>
      <w:divBdr>
        <w:top w:val="none" w:sz="0" w:space="0" w:color="auto"/>
        <w:left w:val="none" w:sz="0" w:space="0" w:color="auto"/>
        <w:bottom w:val="none" w:sz="0" w:space="0" w:color="auto"/>
        <w:right w:val="none" w:sz="0" w:space="0" w:color="auto"/>
      </w:divBdr>
      <w:divsChild>
        <w:div w:id="433791337">
          <w:marLeft w:val="288"/>
          <w:marRight w:val="0"/>
          <w:marTop w:val="0"/>
          <w:marBottom w:val="60"/>
          <w:divBdr>
            <w:top w:val="none" w:sz="0" w:space="0" w:color="auto"/>
            <w:left w:val="none" w:sz="0" w:space="0" w:color="auto"/>
            <w:bottom w:val="none" w:sz="0" w:space="0" w:color="auto"/>
            <w:right w:val="none" w:sz="0" w:space="0" w:color="auto"/>
          </w:divBdr>
        </w:div>
        <w:div w:id="1056514100">
          <w:marLeft w:val="274"/>
          <w:marRight w:val="0"/>
          <w:marTop w:val="0"/>
          <w:marBottom w:val="0"/>
          <w:divBdr>
            <w:top w:val="none" w:sz="0" w:space="0" w:color="auto"/>
            <w:left w:val="none" w:sz="0" w:space="0" w:color="auto"/>
            <w:bottom w:val="none" w:sz="0" w:space="0" w:color="auto"/>
            <w:right w:val="none" w:sz="0" w:space="0" w:color="auto"/>
          </w:divBdr>
        </w:div>
        <w:div w:id="478569955">
          <w:marLeft w:val="274"/>
          <w:marRight w:val="0"/>
          <w:marTop w:val="0"/>
          <w:marBottom w:val="0"/>
          <w:divBdr>
            <w:top w:val="none" w:sz="0" w:space="0" w:color="auto"/>
            <w:left w:val="none" w:sz="0" w:space="0" w:color="auto"/>
            <w:bottom w:val="none" w:sz="0" w:space="0" w:color="auto"/>
            <w:right w:val="none" w:sz="0" w:space="0" w:color="auto"/>
          </w:divBdr>
        </w:div>
        <w:div w:id="2103793334">
          <w:marLeft w:val="274"/>
          <w:marRight w:val="0"/>
          <w:marTop w:val="0"/>
          <w:marBottom w:val="0"/>
          <w:divBdr>
            <w:top w:val="none" w:sz="0" w:space="0" w:color="auto"/>
            <w:left w:val="none" w:sz="0" w:space="0" w:color="auto"/>
            <w:bottom w:val="none" w:sz="0" w:space="0" w:color="auto"/>
            <w:right w:val="none" w:sz="0" w:space="0" w:color="auto"/>
          </w:divBdr>
        </w:div>
        <w:div w:id="1471095445">
          <w:marLeft w:val="288"/>
          <w:marRight w:val="0"/>
          <w:marTop w:val="0"/>
          <w:marBottom w:val="60"/>
          <w:divBdr>
            <w:top w:val="none" w:sz="0" w:space="0" w:color="auto"/>
            <w:left w:val="none" w:sz="0" w:space="0" w:color="auto"/>
            <w:bottom w:val="none" w:sz="0" w:space="0" w:color="auto"/>
            <w:right w:val="none" w:sz="0" w:space="0" w:color="auto"/>
          </w:divBdr>
        </w:div>
        <w:div w:id="239751877">
          <w:marLeft w:val="274"/>
          <w:marRight w:val="0"/>
          <w:marTop w:val="0"/>
          <w:marBottom w:val="0"/>
          <w:divBdr>
            <w:top w:val="none" w:sz="0" w:space="0" w:color="auto"/>
            <w:left w:val="none" w:sz="0" w:space="0" w:color="auto"/>
            <w:bottom w:val="none" w:sz="0" w:space="0" w:color="auto"/>
            <w:right w:val="none" w:sz="0" w:space="0" w:color="auto"/>
          </w:divBdr>
        </w:div>
        <w:div w:id="1181971296">
          <w:marLeft w:val="288"/>
          <w:marRight w:val="0"/>
          <w:marTop w:val="0"/>
          <w:marBottom w:val="60"/>
          <w:divBdr>
            <w:top w:val="none" w:sz="0" w:space="0" w:color="auto"/>
            <w:left w:val="none" w:sz="0" w:space="0" w:color="auto"/>
            <w:bottom w:val="none" w:sz="0" w:space="0" w:color="auto"/>
            <w:right w:val="none" w:sz="0" w:space="0" w:color="auto"/>
          </w:divBdr>
        </w:div>
        <w:div w:id="565841993">
          <w:marLeft w:val="850"/>
          <w:marRight w:val="0"/>
          <w:marTop w:val="0"/>
          <w:marBottom w:val="60"/>
          <w:divBdr>
            <w:top w:val="none" w:sz="0" w:space="0" w:color="auto"/>
            <w:left w:val="none" w:sz="0" w:space="0" w:color="auto"/>
            <w:bottom w:val="none" w:sz="0" w:space="0" w:color="auto"/>
            <w:right w:val="none" w:sz="0" w:space="0" w:color="auto"/>
          </w:divBdr>
        </w:div>
        <w:div w:id="1366249749">
          <w:marLeft w:val="835"/>
          <w:marRight w:val="0"/>
          <w:marTop w:val="0"/>
          <w:marBottom w:val="0"/>
          <w:divBdr>
            <w:top w:val="none" w:sz="0" w:space="0" w:color="auto"/>
            <w:left w:val="none" w:sz="0" w:space="0" w:color="auto"/>
            <w:bottom w:val="none" w:sz="0" w:space="0" w:color="auto"/>
            <w:right w:val="none" w:sz="0" w:space="0" w:color="auto"/>
          </w:divBdr>
        </w:div>
        <w:div w:id="1451973120">
          <w:marLeft w:val="850"/>
          <w:marRight w:val="0"/>
          <w:marTop w:val="0"/>
          <w:marBottom w:val="60"/>
          <w:divBdr>
            <w:top w:val="none" w:sz="0" w:space="0" w:color="auto"/>
            <w:left w:val="none" w:sz="0" w:space="0" w:color="auto"/>
            <w:bottom w:val="none" w:sz="0" w:space="0" w:color="auto"/>
            <w:right w:val="none" w:sz="0" w:space="0" w:color="auto"/>
          </w:divBdr>
        </w:div>
        <w:div w:id="1025865593">
          <w:marLeft w:val="835"/>
          <w:marRight w:val="0"/>
          <w:marTop w:val="0"/>
          <w:marBottom w:val="0"/>
          <w:divBdr>
            <w:top w:val="none" w:sz="0" w:space="0" w:color="auto"/>
            <w:left w:val="none" w:sz="0" w:space="0" w:color="auto"/>
            <w:bottom w:val="none" w:sz="0" w:space="0" w:color="auto"/>
            <w:right w:val="none" w:sz="0" w:space="0" w:color="auto"/>
          </w:divBdr>
        </w:div>
        <w:div w:id="566720025">
          <w:marLeft w:val="850"/>
          <w:marRight w:val="0"/>
          <w:marTop w:val="0"/>
          <w:marBottom w:val="60"/>
          <w:divBdr>
            <w:top w:val="none" w:sz="0" w:space="0" w:color="auto"/>
            <w:left w:val="none" w:sz="0" w:space="0" w:color="auto"/>
            <w:bottom w:val="none" w:sz="0" w:space="0" w:color="auto"/>
            <w:right w:val="none" w:sz="0" w:space="0" w:color="auto"/>
          </w:divBdr>
        </w:div>
        <w:div w:id="614991242">
          <w:marLeft w:val="850"/>
          <w:marRight w:val="0"/>
          <w:marTop w:val="0"/>
          <w:marBottom w:val="60"/>
          <w:divBdr>
            <w:top w:val="none" w:sz="0" w:space="0" w:color="auto"/>
            <w:left w:val="none" w:sz="0" w:space="0" w:color="auto"/>
            <w:bottom w:val="none" w:sz="0" w:space="0" w:color="auto"/>
            <w:right w:val="none" w:sz="0" w:space="0" w:color="auto"/>
          </w:divBdr>
        </w:div>
        <w:div w:id="105665072">
          <w:marLeft w:val="288"/>
          <w:marRight w:val="0"/>
          <w:marTop w:val="0"/>
          <w:marBottom w:val="60"/>
          <w:divBdr>
            <w:top w:val="none" w:sz="0" w:space="0" w:color="auto"/>
            <w:left w:val="none" w:sz="0" w:space="0" w:color="auto"/>
            <w:bottom w:val="none" w:sz="0" w:space="0" w:color="auto"/>
            <w:right w:val="none" w:sz="0" w:space="0" w:color="auto"/>
          </w:divBdr>
        </w:div>
        <w:div w:id="2114855157">
          <w:marLeft w:val="835"/>
          <w:marRight w:val="0"/>
          <w:marTop w:val="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3961753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2877994">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12163435">
      <w:bodyDiv w:val="1"/>
      <w:marLeft w:val="0"/>
      <w:marRight w:val="0"/>
      <w:marTop w:val="0"/>
      <w:marBottom w:val="0"/>
      <w:divBdr>
        <w:top w:val="none" w:sz="0" w:space="0" w:color="auto"/>
        <w:left w:val="none" w:sz="0" w:space="0" w:color="auto"/>
        <w:bottom w:val="none" w:sz="0" w:space="0" w:color="auto"/>
        <w:right w:val="none" w:sz="0" w:space="0" w:color="auto"/>
      </w:divBdr>
    </w:div>
    <w:div w:id="2117169299">
      <w:bodyDiv w:val="1"/>
      <w:marLeft w:val="0"/>
      <w:marRight w:val="0"/>
      <w:marTop w:val="0"/>
      <w:marBottom w:val="0"/>
      <w:divBdr>
        <w:top w:val="none" w:sz="0" w:space="0" w:color="auto"/>
        <w:left w:val="none" w:sz="0" w:space="0" w:color="auto"/>
        <w:bottom w:val="none" w:sz="0" w:space="0" w:color="auto"/>
        <w:right w:val="none" w:sz="0" w:space="0" w:color="auto"/>
      </w:divBdr>
    </w:div>
    <w:div w:id="212483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7b-e/Docs/R1-2200780.zip" TargetMode="External"/><Relationship Id="rId5" Type="http://schemas.openxmlformats.org/officeDocument/2006/relationships/styles" Target="styles.xml"/><Relationship Id="rId10" Type="http://schemas.openxmlformats.org/officeDocument/2006/relationships/hyperlink" Target="https://www.3gpp.org/ftp/tsg_ran/WG2_RL2/TSGR2_116bis-e/Docs/R2-22018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BE5A76-F6AA-49F4-B463-4630D370C550}">
  <ds:schemaRefs>
    <ds:schemaRef ds:uri="http://schemas.microsoft.com/sharepoint/v3/contenttype/forms"/>
  </ds:schemaRefs>
</ds:datastoreItem>
</file>

<file path=customXml/itemProps2.xml><?xml version="1.0" encoding="utf-8"?>
<ds:datastoreItem xmlns:ds="http://schemas.openxmlformats.org/officeDocument/2006/customXml" ds:itemID="{D483B45B-5F65-4E76-AD2F-335A3CF3301F}">
  <ds:schemaRefs>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D2286C2-EA4D-47ED-A35F-825032E71823}"/>
</file>

<file path=docProps/app.xml><?xml version="1.0" encoding="utf-8"?>
<Properties xmlns="http://schemas.openxmlformats.org/officeDocument/2006/extended-properties" xmlns:vt="http://schemas.openxmlformats.org/officeDocument/2006/docPropsVTypes">
  <Template>Normal.dotm</Template>
  <TotalTime>4</TotalTime>
  <Pages>6</Pages>
  <Words>2242</Words>
  <Characters>12780</Characters>
  <Application>Microsoft Office Word</Application>
  <DocSecurity>0</DocSecurity>
  <Lines>106</Lines>
  <Paragraphs>29</Paragraphs>
  <ScaleCrop>false</ScaleCrop>
  <Company>Ericsson</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Tuomas Tirronen</cp:lastModifiedBy>
  <cp:revision>172</cp:revision>
  <cp:lastPrinted>2009-10-21T14:47:00Z</cp:lastPrinted>
  <dcterms:created xsi:type="dcterms:W3CDTF">2022-01-10T09:57:00Z</dcterms:created>
  <dcterms:modified xsi:type="dcterms:W3CDTF">2022-02-14T16:20:00Z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